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840" w:rsidRPr="008C3840" w:rsidRDefault="008C3840" w:rsidP="008C3840">
      <w:pPr>
        <w:spacing w:after="0"/>
        <w:contextualSpacing/>
        <w:jc w:val="center"/>
        <w:rPr>
          <w:rFonts w:ascii="Times New Roman" w:eastAsia="Calibri" w:hAnsi="Times New Roman" w:cs="Times New Roman"/>
          <w:b/>
          <w:sz w:val="28"/>
          <w:szCs w:val="28"/>
          <w:lang w:val="uk-UA"/>
        </w:rPr>
      </w:pPr>
      <w:r w:rsidRPr="008C3840">
        <w:rPr>
          <w:rFonts w:ascii="Times New Roman" w:eastAsia="Calibri" w:hAnsi="Times New Roman" w:cs="Times New Roman"/>
          <w:b/>
          <w:sz w:val="28"/>
          <w:szCs w:val="28"/>
          <w:lang w:val="uk-UA"/>
        </w:rPr>
        <w:t>Навчальна дисципліна «Методика навчання основ здоров’я»</w:t>
      </w:r>
    </w:p>
    <w:p w:rsidR="003B2613" w:rsidRDefault="008C3840" w:rsidP="003B2613">
      <w:pPr>
        <w:tabs>
          <w:tab w:val="center" w:pos="4677"/>
          <w:tab w:val="left" w:pos="8068"/>
        </w:tabs>
        <w:spacing w:after="0"/>
        <w:contextualSpacing/>
        <w:rPr>
          <w:rFonts w:ascii="Times New Roman" w:hAnsi="Times New Roman" w:cs="Times New Roman"/>
          <w:b/>
          <w:sz w:val="28"/>
          <w:szCs w:val="28"/>
          <w:lang w:val="uk-UA"/>
        </w:rPr>
      </w:pPr>
      <w:r w:rsidRPr="008C3840">
        <w:rPr>
          <w:rFonts w:ascii="Times New Roman" w:eastAsia="Calibri" w:hAnsi="Times New Roman" w:cs="Times New Roman"/>
          <w:b/>
          <w:sz w:val="28"/>
          <w:szCs w:val="28"/>
          <w:lang w:val="uk-UA"/>
        </w:rPr>
        <w:tab/>
      </w:r>
      <w:r w:rsidR="003B2613">
        <w:rPr>
          <w:rFonts w:ascii="Times New Roman" w:hAnsi="Times New Roman" w:cs="Times New Roman"/>
          <w:b/>
          <w:sz w:val="28"/>
          <w:szCs w:val="28"/>
          <w:lang w:val="uk-UA"/>
        </w:rPr>
        <w:t>Спеціальність 227 Фізична терапія, ерготерапія</w:t>
      </w:r>
    </w:p>
    <w:p w:rsidR="003B2613" w:rsidRDefault="003B2613" w:rsidP="003B2613">
      <w:pPr>
        <w:spacing w:after="0"/>
        <w:contextualSpacing/>
        <w:jc w:val="both"/>
        <w:rPr>
          <w:rFonts w:ascii="Times New Roman" w:hAnsi="Times New Roman" w:cs="Times New Roman"/>
          <w:b/>
          <w:i/>
          <w:sz w:val="28"/>
          <w:szCs w:val="28"/>
          <w:lang w:val="uk-UA"/>
        </w:rPr>
      </w:pPr>
    </w:p>
    <w:p w:rsidR="008C3840" w:rsidRPr="008C3840" w:rsidRDefault="008C3840" w:rsidP="003B2613">
      <w:pPr>
        <w:tabs>
          <w:tab w:val="center" w:pos="4677"/>
          <w:tab w:val="left" w:pos="8068"/>
        </w:tabs>
        <w:spacing w:after="0"/>
        <w:contextualSpacing/>
        <w:jc w:val="center"/>
        <w:rPr>
          <w:rFonts w:ascii="Times New Roman" w:eastAsia="Calibri" w:hAnsi="Times New Roman" w:cs="Times New Roman"/>
          <w:b/>
          <w:sz w:val="28"/>
          <w:szCs w:val="28"/>
          <w:lang w:val="uk-UA"/>
        </w:rPr>
      </w:pPr>
      <w:r w:rsidRPr="008C3840">
        <w:rPr>
          <w:rFonts w:ascii="Times New Roman" w:eastAsia="Calibri" w:hAnsi="Times New Roman" w:cs="Times New Roman"/>
          <w:b/>
          <w:sz w:val="28"/>
          <w:szCs w:val="28"/>
          <w:lang w:val="uk-UA"/>
        </w:rPr>
        <w:t>Лекція № 1</w:t>
      </w:r>
      <w:r>
        <w:rPr>
          <w:rFonts w:ascii="Times New Roman" w:eastAsia="Calibri" w:hAnsi="Times New Roman" w:cs="Times New Roman"/>
          <w:b/>
          <w:sz w:val="28"/>
          <w:szCs w:val="28"/>
          <w:lang w:val="uk-UA"/>
        </w:rPr>
        <w:t>1</w:t>
      </w:r>
    </w:p>
    <w:p w:rsidR="008C3840" w:rsidRPr="008C3840" w:rsidRDefault="008C3840" w:rsidP="008C3840">
      <w:pPr>
        <w:spacing w:after="0"/>
        <w:contextualSpacing/>
        <w:jc w:val="center"/>
        <w:rPr>
          <w:rFonts w:ascii="Times New Roman" w:eastAsia="Calibri" w:hAnsi="Times New Roman" w:cs="Times New Roman"/>
          <w:b/>
          <w:sz w:val="28"/>
          <w:szCs w:val="28"/>
          <w:lang w:val="uk-UA"/>
        </w:rPr>
      </w:pPr>
    </w:p>
    <w:p w:rsidR="008C3840" w:rsidRDefault="008C3840" w:rsidP="008C3840">
      <w:pPr>
        <w:spacing w:after="0"/>
        <w:contextualSpacing/>
        <w:jc w:val="center"/>
        <w:rPr>
          <w:rFonts w:ascii="Times New Roman" w:hAnsi="Times New Roman" w:cs="Times New Roman"/>
          <w:b/>
          <w:bCs/>
          <w:sz w:val="28"/>
          <w:szCs w:val="28"/>
        </w:rPr>
      </w:pPr>
      <w:r w:rsidRPr="008C3840">
        <w:rPr>
          <w:rFonts w:ascii="Times New Roman" w:eastAsia="Calibri" w:hAnsi="Times New Roman" w:cs="Times New Roman"/>
          <w:b/>
          <w:bCs/>
          <w:i/>
          <w:color w:val="000000"/>
          <w:sz w:val="28"/>
          <w:szCs w:val="28"/>
          <w:lang w:val="uk-UA"/>
        </w:rPr>
        <w:t xml:space="preserve">Тема: </w:t>
      </w:r>
      <w:r w:rsidRPr="004E5991">
        <w:rPr>
          <w:rFonts w:ascii="Times New Roman" w:hAnsi="Times New Roman" w:cs="Times New Roman"/>
          <w:b/>
          <w:bCs/>
          <w:sz w:val="28"/>
          <w:szCs w:val="28"/>
        </w:rPr>
        <w:t>ПРОФІЛА</w:t>
      </w:r>
      <w:r>
        <w:rPr>
          <w:rFonts w:ascii="Times New Roman" w:hAnsi="Times New Roman" w:cs="Times New Roman"/>
          <w:b/>
          <w:bCs/>
          <w:sz w:val="28"/>
          <w:szCs w:val="28"/>
        </w:rPr>
        <w:t>КТИКА ОСНОВНИХ ФОРМ ЗАХВОРЮВАНЬ</w:t>
      </w:r>
    </w:p>
    <w:p w:rsidR="008C3840" w:rsidRDefault="008C3840" w:rsidP="008C3840">
      <w:pPr>
        <w:spacing w:after="0"/>
        <w:contextualSpacing/>
        <w:jc w:val="center"/>
        <w:rPr>
          <w:rFonts w:ascii="Times New Roman" w:hAnsi="Times New Roman" w:cs="Times New Roman"/>
          <w:sz w:val="28"/>
          <w:szCs w:val="28"/>
          <w:lang w:val="uk-UA"/>
        </w:rPr>
      </w:pPr>
    </w:p>
    <w:p w:rsidR="0034034F" w:rsidRDefault="0034034F" w:rsidP="008C3840">
      <w:pPr>
        <w:spacing w:after="0"/>
        <w:contextualSpacing/>
        <w:jc w:val="center"/>
        <w:rPr>
          <w:rFonts w:ascii="Times New Roman" w:hAnsi="Times New Roman" w:cs="Times New Roman"/>
          <w:b/>
          <w:i/>
          <w:sz w:val="28"/>
          <w:szCs w:val="28"/>
          <w:lang w:val="uk-UA"/>
        </w:rPr>
      </w:pPr>
      <w:r>
        <w:rPr>
          <w:rFonts w:ascii="Times New Roman" w:hAnsi="Times New Roman" w:cs="Times New Roman"/>
          <w:b/>
          <w:i/>
          <w:sz w:val="28"/>
          <w:szCs w:val="28"/>
          <w:lang w:val="uk-UA"/>
        </w:rPr>
        <w:t>План:</w:t>
      </w:r>
    </w:p>
    <w:p w:rsidR="0034034F" w:rsidRPr="0034034F" w:rsidRDefault="0034034F" w:rsidP="0034034F">
      <w:pPr>
        <w:pStyle w:val="a3"/>
        <w:numPr>
          <w:ilvl w:val="0"/>
          <w:numId w:val="1"/>
        </w:numPr>
        <w:spacing w:after="0"/>
        <w:jc w:val="both"/>
        <w:rPr>
          <w:rFonts w:ascii="Times New Roman" w:hAnsi="Times New Roman" w:cs="Times New Roman"/>
          <w:sz w:val="28"/>
          <w:szCs w:val="28"/>
          <w:lang w:val="uk-UA"/>
        </w:rPr>
      </w:pPr>
      <w:r w:rsidRPr="0034034F">
        <w:rPr>
          <w:rFonts w:ascii="Times New Roman" w:hAnsi="Times New Roman" w:cs="Times New Roman"/>
          <w:bCs/>
          <w:sz w:val="28"/>
          <w:szCs w:val="28"/>
          <w:lang w:val="uk-UA"/>
        </w:rPr>
        <w:t>Основні фактори ризику</w:t>
      </w:r>
    </w:p>
    <w:p w:rsidR="0034034F" w:rsidRPr="0034034F" w:rsidRDefault="0034034F" w:rsidP="0034034F">
      <w:pPr>
        <w:pStyle w:val="a3"/>
        <w:numPr>
          <w:ilvl w:val="0"/>
          <w:numId w:val="1"/>
        </w:numPr>
        <w:spacing w:after="0"/>
        <w:jc w:val="both"/>
        <w:rPr>
          <w:rFonts w:ascii="Times New Roman" w:hAnsi="Times New Roman" w:cs="Times New Roman"/>
          <w:sz w:val="28"/>
          <w:szCs w:val="28"/>
          <w:lang w:val="uk-UA"/>
        </w:rPr>
      </w:pPr>
      <w:r w:rsidRPr="0034034F">
        <w:rPr>
          <w:rFonts w:ascii="Times New Roman" w:hAnsi="Times New Roman" w:cs="Times New Roman"/>
          <w:sz w:val="28"/>
          <w:szCs w:val="28"/>
          <w:lang w:val="uk-UA"/>
        </w:rPr>
        <w:t>Профілактика серцево-судинних захворювань</w:t>
      </w:r>
    </w:p>
    <w:p w:rsidR="0034034F" w:rsidRPr="0034034F" w:rsidRDefault="0034034F" w:rsidP="0034034F">
      <w:pPr>
        <w:pStyle w:val="a3"/>
        <w:numPr>
          <w:ilvl w:val="0"/>
          <w:numId w:val="1"/>
        </w:numPr>
        <w:spacing w:after="0"/>
        <w:jc w:val="both"/>
        <w:rPr>
          <w:rFonts w:ascii="Times New Roman" w:hAnsi="Times New Roman" w:cs="Times New Roman"/>
          <w:sz w:val="28"/>
          <w:szCs w:val="28"/>
          <w:lang w:val="uk-UA"/>
        </w:rPr>
      </w:pPr>
      <w:r w:rsidRPr="0034034F">
        <w:rPr>
          <w:rFonts w:ascii="Times New Roman" w:hAnsi="Times New Roman" w:cs="Times New Roman"/>
          <w:sz w:val="28"/>
          <w:szCs w:val="28"/>
          <w:lang w:val="uk-UA"/>
        </w:rPr>
        <w:t>Профілактика злоякісних новоутворень</w:t>
      </w:r>
    </w:p>
    <w:p w:rsidR="0034034F" w:rsidRPr="0034034F" w:rsidRDefault="0034034F" w:rsidP="0034034F">
      <w:pPr>
        <w:pStyle w:val="a3"/>
        <w:numPr>
          <w:ilvl w:val="0"/>
          <w:numId w:val="1"/>
        </w:numPr>
        <w:rPr>
          <w:rFonts w:ascii="Times New Roman" w:hAnsi="Times New Roman" w:cs="Times New Roman"/>
          <w:sz w:val="28"/>
          <w:szCs w:val="28"/>
          <w:lang w:val="uk-UA"/>
        </w:rPr>
      </w:pPr>
      <w:r w:rsidRPr="0034034F">
        <w:rPr>
          <w:rFonts w:ascii="Times New Roman" w:hAnsi="Times New Roman" w:cs="Times New Roman"/>
          <w:sz w:val="28"/>
          <w:szCs w:val="28"/>
          <w:lang w:val="uk-UA"/>
        </w:rPr>
        <w:t>Відносність критеріїв здорового стилю життя.</w:t>
      </w:r>
    </w:p>
    <w:p w:rsidR="0034034F" w:rsidRPr="0034034F" w:rsidRDefault="0034034F" w:rsidP="009F67CB">
      <w:pPr>
        <w:pStyle w:val="a3"/>
        <w:spacing w:after="0"/>
        <w:ind w:left="927"/>
        <w:jc w:val="both"/>
        <w:rPr>
          <w:rFonts w:ascii="Times New Roman" w:hAnsi="Times New Roman" w:cs="Times New Roman"/>
          <w:sz w:val="28"/>
          <w:szCs w:val="28"/>
          <w:lang w:val="uk-UA"/>
        </w:rPr>
      </w:pPr>
      <w:bookmarkStart w:id="0" w:name="_GoBack"/>
      <w:bookmarkEnd w:id="0"/>
    </w:p>
    <w:p w:rsidR="0034034F" w:rsidRPr="0034034F" w:rsidRDefault="0034034F" w:rsidP="008C3840">
      <w:pPr>
        <w:spacing w:after="0"/>
        <w:contextualSpacing/>
        <w:jc w:val="center"/>
        <w:rPr>
          <w:rFonts w:ascii="Times New Roman" w:hAnsi="Times New Roman" w:cs="Times New Roman"/>
          <w:b/>
          <w:i/>
          <w:sz w:val="28"/>
          <w:szCs w:val="28"/>
          <w:lang w:val="uk-UA"/>
        </w:rPr>
      </w:pPr>
    </w:p>
    <w:p w:rsidR="008C3840" w:rsidRPr="003B2613" w:rsidRDefault="008C3840" w:rsidP="008C3840">
      <w:pPr>
        <w:spacing w:after="0"/>
        <w:ind w:firstLine="567"/>
        <w:contextualSpacing/>
        <w:jc w:val="both"/>
        <w:rPr>
          <w:rFonts w:ascii="Times New Roman" w:hAnsi="Times New Roman" w:cs="Times New Roman"/>
          <w:sz w:val="28"/>
          <w:szCs w:val="28"/>
          <w:lang w:val="uk-UA"/>
        </w:rPr>
      </w:pPr>
      <w:r w:rsidRPr="0034034F">
        <w:rPr>
          <w:rFonts w:ascii="Times New Roman" w:hAnsi="Times New Roman" w:cs="Times New Roman"/>
          <w:sz w:val="28"/>
          <w:szCs w:val="28"/>
          <w:lang w:val="uk-UA"/>
        </w:rPr>
        <w:t>Світова статистика дає абсолютно чітку інформацію про те, що кри</w:t>
      </w:r>
      <w:r w:rsidRPr="0034034F">
        <w:rPr>
          <w:rFonts w:ascii="Times New Roman" w:hAnsi="Times New Roman" w:cs="Times New Roman"/>
          <w:sz w:val="28"/>
          <w:szCs w:val="28"/>
          <w:lang w:val="uk-UA"/>
        </w:rPr>
        <w:softHyphen/>
        <w:t xml:space="preserve">тичним віком маніфестації захворювань, які найбільш часто призводять до інвалідизації та смерті, є межа в 40 років. </w:t>
      </w:r>
      <w:r w:rsidRPr="003B2613">
        <w:rPr>
          <w:rFonts w:ascii="Times New Roman" w:hAnsi="Times New Roman" w:cs="Times New Roman"/>
          <w:sz w:val="28"/>
          <w:szCs w:val="28"/>
          <w:lang w:val="uk-UA"/>
        </w:rPr>
        <w:t>Саме в п’ятій декаді життя різко зростає можливість розвитку захворювань серцево-судинної системи, зло</w:t>
      </w:r>
      <w:r w:rsidRPr="003B2613">
        <w:rPr>
          <w:rFonts w:ascii="Times New Roman" w:hAnsi="Times New Roman" w:cs="Times New Roman"/>
          <w:sz w:val="28"/>
          <w:szCs w:val="28"/>
          <w:lang w:val="uk-UA"/>
        </w:rPr>
        <w:softHyphen/>
        <w:t xml:space="preserve">якісних новоутворень, діабету другого типу, імунодефіцитів, остеопорозу, депресивних станів.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Наприклад, пухлина легень у третій декаді життя зустрічається в се</w:t>
      </w:r>
      <w:r w:rsidRPr="004E5991">
        <w:rPr>
          <w:rFonts w:ascii="Times New Roman" w:hAnsi="Times New Roman" w:cs="Times New Roman"/>
          <w:sz w:val="28"/>
          <w:szCs w:val="28"/>
        </w:rPr>
        <w:softHyphen/>
        <w:t xml:space="preserve">редньому 1:50000, у п’ятій 1:4300, в шостій 1:1000, сьомій 1:559. Таким же чином, різко збільшується можливість серцево-судинної патології — у четвертій декаді життя 1:1000, у п’ятій 1:250, в шостій 1:100, сьомій 1: 70, у восьмій 1:16 і т. д. </w:t>
      </w:r>
    </w:p>
    <w:p w:rsidR="008C3840" w:rsidRPr="004E5991" w:rsidRDefault="008C3840" w:rsidP="008C3840">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Е</w:t>
      </w:r>
      <w:r w:rsidRPr="004E5991">
        <w:rPr>
          <w:rFonts w:ascii="Times New Roman" w:hAnsi="Times New Roman" w:cs="Times New Roman"/>
          <w:sz w:val="28"/>
          <w:szCs w:val="28"/>
        </w:rPr>
        <w:t>фе</w:t>
      </w:r>
      <w:r>
        <w:rPr>
          <w:rFonts w:ascii="Times New Roman" w:hAnsi="Times New Roman" w:cs="Times New Roman"/>
          <w:sz w:val="28"/>
          <w:szCs w:val="28"/>
        </w:rPr>
        <w:t>ктивність профілактичних заході</w:t>
      </w:r>
      <w:r>
        <w:rPr>
          <w:rFonts w:ascii="Times New Roman" w:hAnsi="Times New Roman" w:cs="Times New Roman"/>
          <w:sz w:val="28"/>
          <w:szCs w:val="28"/>
          <w:lang w:val="uk-UA"/>
        </w:rPr>
        <w:t>в</w:t>
      </w:r>
      <w:r w:rsidRPr="004E5991">
        <w:rPr>
          <w:rFonts w:ascii="Times New Roman" w:hAnsi="Times New Roman" w:cs="Times New Roman"/>
          <w:sz w:val="28"/>
          <w:szCs w:val="28"/>
        </w:rPr>
        <w:t xml:space="preserve">: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1. Важливі заходи, що дозволяють знизити кількість захворювань та їх важкість — це ті, які вживаються самим пацієнтом. Багато рутинних тес</w:t>
      </w:r>
      <w:r w:rsidRPr="004E5991">
        <w:rPr>
          <w:rFonts w:ascii="Times New Roman" w:hAnsi="Times New Roman" w:cs="Times New Roman"/>
          <w:sz w:val="28"/>
          <w:szCs w:val="28"/>
        </w:rPr>
        <w:softHyphen/>
        <w:t xml:space="preserve">тів є недієвими, пов’язаними з великими витратами, недостатньо клінічно значущі. Тому акцент робиться на зміни в поведінці самого пацієнта.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2. Необхідно ретельний відбір тестів і заходів, врахування статі, віку, індивідуальних чинників ризику, щоб якомога більше знизити ризик побіч</w:t>
      </w:r>
      <w:r w:rsidRPr="004E5991">
        <w:rPr>
          <w:rFonts w:ascii="Times New Roman" w:hAnsi="Times New Roman" w:cs="Times New Roman"/>
          <w:sz w:val="28"/>
          <w:szCs w:val="28"/>
        </w:rPr>
        <w:softHyphen/>
        <w:t xml:space="preserve">них ефектів і неприємностей від виконання процедур обстеження.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3. Просвітництво пацієнта або консультації з проблеми профілактики виявилися більш корисними, ніж традиційна медична практика (проведен</w:t>
      </w:r>
      <w:r w:rsidRPr="004E5991">
        <w:rPr>
          <w:rFonts w:ascii="Times New Roman" w:hAnsi="Times New Roman" w:cs="Times New Roman"/>
          <w:sz w:val="28"/>
          <w:szCs w:val="28"/>
        </w:rPr>
        <w:softHyphen/>
        <w:t>ня діагностичних процедур). Таким чином, сама людина несе відповідаль</w:t>
      </w:r>
      <w:r w:rsidRPr="004E5991">
        <w:rPr>
          <w:rFonts w:ascii="Times New Roman" w:hAnsi="Times New Roman" w:cs="Times New Roman"/>
          <w:sz w:val="28"/>
          <w:szCs w:val="28"/>
        </w:rPr>
        <w:softHyphen/>
        <w:t xml:space="preserve">ність за своє здоров’я. </w:t>
      </w:r>
    </w:p>
    <w:p w:rsidR="0034034F" w:rsidRDefault="0034034F" w:rsidP="008C3840">
      <w:pPr>
        <w:spacing w:after="0"/>
        <w:ind w:firstLine="567"/>
        <w:contextualSpacing/>
        <w:jc w:val="both"/>
        <w:rPr>
          <w:rFonts w:ascii="Times New Roman" w:hAnsi="Times New Roman" w:cs="Times New Roman"/>
          <w:b/>
          <w:bCs/>
          <w:sz w:val="28"/>
          <w:szCs w:val="28"/>
          <w:lang w:val="uk-UA"/>
        </w:rPr>
      </w:pPr>
    </w:p>
    <w:p w:rsidR="0034034F" w:rsidRDefault="0034034F" w:rsidP="008C3840">
      <w:pPr>
        <w:spacing w:after="0"/>
        <w:ind w:firstLine="567"/>
        <w:contextualSpacing/>
        <w:jc w:val="both"/>
        <w:rPr>
          <w:rFonts w:ascii="Times New Roman" w:hAnsi="Times New Roman" w:cs="Times New Roman"/>
          <w:b/>
          <w:bCs/>
          <w:sz w:val="28"/>
          <w:szCs w:val="28"/>
          <w:lang w:val="uk-UA"/>
        </w:rPr>
      </w:pPr>
    </w:p>
    <w:p w:rsidR="008C3840" w:rsidRPr="0034034F" w:rsidRDefault="008C3840" w:rsidP="0034034F">
      <w:pPr>
        <w:pStyle w:val="a3"/>
        <w:numPr>
          <w:ilvl w:val="0"/>
          <w:numId w:val="2"/>
        </w:numPr>
        <w:spacing w:after="0"/>
        <w:jc w:val="both"/>
        <w:rPr>
          <w:rFonts w:ascii="Times New Roman" w:hAnsi="Times New Roman" w:cs="Times New Roman"/>
          <w:sz w:val="28"/>
          <w:szCs w:val="28"/>
        </w:rPr>
      </w:pPr>
      <w:r w:rsidRPr="0034034F">
        <w:rPr>
          <w:rFonts w:ascii="Times New Roman" w:hAnsi="Times New Roman" w:cs="Times New Roman"/>
          <w:b/>
          <w:bCs/>
          <w:sz w:val="28"/>
          <w:szCs w:val="28"/>
        </w:rPr>
        <w:lastRenderedPageBreak/>
        <w:t>Основні фактори ризику</w:t>
      </w:r>
    </w:p>
    <w:p w:rsidR="0034034F" w:rsidRPr="0034034F" w:rsidRDefault="0034034F" w:rsidP="0034034F">
      <w:pPr>
        <w:pStyle w:val="a3"/>
        <w:spacing w:after="0"/>
        <w:ind w:left="927"/>
        <w:jc w:val="both"/>
        <w:rPr>
          <w:rFonts w:ascii="Times New Roman" w:hAnsi="Times New Roman" w:cs="Times New Roman"/>
          <w:sz w:val="28"/>
          <w:szCs w:val="28"/>
        </w:rPr>
      </w:pP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 xml:space="preserve">Відповідно до «Керівництва з профілактичної медицини» (США, 1993 р.) для життя людини віком до 40 років найбільш небезпечні дорожньо-транспортні пригоди, травми, вбивства і самогубства. Після 40 років найбільш ймовірні причини смерті — хвороби серця і судин (у тому числі мозку), рак легень, грудної залози (для жінок), прямої кишки. На думку експертів Західної Європи, 8 факторів стилю життя впливають на частоту виникнення п’яти основних форм захворювань: хвороб серця і судин, гіпертензії, раку легень і грудної залози, цукрового діабету. Серед них: тютюнопаління, споживання алкоголю, обмеження рухової активності, постійні стреси, надмірна маса тіла, надмірне споживання тваринних жирів та кухонної солі, недостатня кількість клітковини в харчовому раціоні. </w:t>
      </w:r>
    </w:p>
    <w:p w:rsidR="008C3840" w:rsidRDefault="008C3840" w:rsidP="008C3840">
      <w:pPr>
        <w:spacing w:after="0"/>
        <w:ind w:firstLine="567"/>
        <w:contextualSpacing/>
        <w:jc w:val="both"/>
        <w:rPr>
          <w:rFonts w:ascii="Times New Roman" w:hAnsi="Times New Roman" w:cs="Times New Roman"/>
          <w:sz w:val="28"/>
          <w:szCs w:val="28"/>
          <w:lang w:val="uk-UA"/>
        </w:rPr>
      </w:pPr>
      <w:r w:rsidRPr="004E5991">
        <w:rPr>
          <w:rFonts w:ascii="Times New Roman" w:hAnsi="Times New Roman" w:cs="Times New Roman"/>
          <w:sz w:val="28"/>
          <w:szCs w:val="28"/>
        </w:rPr>
        <w:t xml:space="preserve">Приблизноо 90 % експертів визнають існування строгої залежності між тютюнопалінням і хворобами серця, тютюнопалінням та раком легень. Понад 70 % експертів схиляються до твердження, що надмірне споживання алкоголю, низька рухова активність, стреси, надмірна маса тіла і багата тваринними жирами їжа впливають на виникнення хвороб серця. Таким чином, шлях профілактики основних форм захворювань охарактеризовано досить чітко. Розглянемо їх докладніше. </w:t>
      </w:r>
    </w:p>
    <w:p w:rsidR="0034034F" w:rsidRPr="0034034F" w:rsidRDefault="0034034F" w:rsidP="008C3840">
      <w:pPr>
        <w:spacing w:after="0"/>
        <w:ind w:firstLine="567"/>
        <w:contextualSpacing/>
        <w:jc w:val="both"/>
        <w:rPr>
          <w:rFonts w:ascii="Times New Roman" w:hAnsi="Times New Roman" w:cs="Times New Roman"/>
          <w:sz w:val="28"/>
          <w:szCs w:val="28"/>
          <w:lang w:val="uk-UA"/>
        </w:rPr>
      </w:pPr>
    </w:p>
    <w:p w:rsidR="008C3840" w:rsidRPr="0034034F" w:rsidRDefault="008C3840" w:rsidP="0034034F">
      <w:pPr>
        <w:pStyle w:val="a3"/>
        <w:numPr>
          <w:ilvl w:val="0"/>
          <w:numId w:val="2"/>
        </w:numPr>
        <w:spacing w:after="0"/>
        <w:jc w:val="both"/>
        <w:rPr>
          <w:rFonts w:ascii="Times New Roman" w:hAnsi="Times New Roman" w:cs="Times New Roman"/>
          <w:sz w:val="28"/>
          <w:szCs w:val="28"/>
        </w:rPr>
      </w:pPr>
      <w:r w:rsidRPr="0034034F">
        <w:rPr>
          <w:rFonts w:ascii="Times New Roman" w:hAnsi="Times New Roman" w:cs="Times New Roman"/>
          <w:b/>
          <w:bCs/>
          <w:sz w:val="28"/>
          <w:szCs w:val="28"/>
        </w:rPr>
        <w:t>Профілактика серцево-судинних захворювань</w:t>
      </w:r>
    </w:p>
    <w:p w:rsidR="0034034F" w:rsidRPr="0034034F" w:rsidRDefault="0034034F" w:rsidP="0034034F">
      <w:pPr>
        <w:pStyle w:val="a3"/>
        <w:spacing w:after="0"/>
        <w:ind w:left="927"/>
        <w:jc w:val="both"/>
        <w:rPr>
          <w:rFonts w:ascii="Times New Roman" w:hAnsi="Times New Roman" w:cs="Times New Roman"/>
          <w:sz w:val="28"/>
          <w:szCs w:val="28"/>
        </w:rPr>
      </w:pP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b/>
          <w:bCs/>
          <w:sz w:val="28"/>
          <w:szCs w:val="28"/>
        </w:rPr>
        <w:t>Тютюнопаління</w:t>
      </w:r>
      <w:r w:rsidRPr="004E5991">
        <w:rPr>
          <w:rFonts w:ascii="Times New Roman" w:hAnsi="Times New Roman" w:cs="Times New Roman"/>
          <w:sz w:val="28"/>
          <w:szCs w:val="28"/>
        </w:rPr>
        <w:t>. Споживання навіть однієї сигарети в день вважається небезпечним. У середньому паління цигарок підвищує ризик розвитку ІХС в 3,5 рази. Нікотин полегшує проникнення холестерину в інтиму артерій, підвищує рівень артеріального тиску, збільшує можливість тромбоутворен</w:t>
      </w:r>
      <w:r w:rsidRPr="004E5991">
        <w:rPr>
          <w:rFonts w:ascii="Times New Roman" w:hAnsi="Times New Roman" w:cs="Times New Roman"/>
          <w:sz w:val="28"/>
          <w:szCs w:val="28"/>
        </w:rPr>
        <w:softHyphen/>
        <w:t>ня, порушує тонус судин. Боротьба з палінням передбачає наявність відпо</w:t>
      </w:r>
      <w:r w:rsidRPr="004E5991">
        <w:rPr>
          <w:rFonts w:ascii="Times New Roman" w:hAnsi="Times New Roman" w:cs="Times New Roman"/>
          <w:sz w:val="28"/>
          <w:szCs w:val="28"/>
        </w:rPr>
        <w:softHyphen/>
        <w:t>відної державної політики, що включає заборону реклами тютюнових ви</w:t>
      </w:r>
      <w:r w:rsidRPr="004E5991">
        <w:rPr>
          <w:rFonts w:ascii="Times New Roman" w:hAnsi="Times New Roman" w:cs="Times New Roman"/>
          <w:sz w:val="28"/>
          <w:szCs w:val="28"/>
        </w:rPr>
        <w:softHyphen/>
        <w:t xml:space="preserve">робів, створення нетерпимого ставлення до курців, формування «моди» на некурящий спосіб життя.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Необхідна зміна трьох поколінь (60 років) для формування стійкого не</w:t>
      </w:r>
      <w:r w:rsidRPr="004E5991">
        <w:rPr>
          <w:rFonts w:ascii="Times New Roman" w:hAnsi="Times New Roman" w:cs="Times New Roman"/>
          <w:sz w:val="28"/>
          <w:szCs w:val="28"/>
        </w:rPr>
        <w:softHyphen/>
        <w:t>прийняття в суспільстві курців та тютюнопаління як суспільного явища. (У США це сталося набагато раніше). Слід врахувати, що паління не є необхід</w:t>
      </w:r>
      <w:r w:rsidRPr="004E5991">
        <w:rPr>
          <w:rFonts w:ascii="Times New Roman" w:hAnsi="Times New Roman" w:cs="Times New Roman"/>
          <w:sz w:val="28"/>
          <w:szCs w:val="28"/>
        </w:rPr>
        <w:softHyphen/>
        <w:t>ним фізіологічним компонентом життєдіяльності людини, а носить харак</w:t>
      </w:r>
      <w:r w:rsidRPr="004E5991">
        <w:rPr>
          <w:rFonts w:ascii="Times New Roman" w:hAnsi="Times New Roman" w:cs="Times New Roman"/>
          <w:sz w:val="28"/>
          <w:szCs w:val="28"/>
        </w:rPr>
        <w:softHyphen/>
        <w:t>тер набутого фактора ілюзорного емоційного розвантаження. У дітей па</w:t>
      </w:r>
      <w:r w:rsidRPr="004E5991">
        <w:rPr>
          <w:rFonts w:ascii="Times New Roman" w:hAnsi="Times New Roman" w:cs="Times New Roman"/>
          <w:sz w:val="28"/>
          <w:szCs w:val="28"/>
        </w:rPr>
        <w:softHyphen/>
        <w:t xml:space="preserve">ління носить характер способу самоствердження і показника «дорослості».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 xml:space="preserve">Для відмови від паління потрібне рішуче бажання самої людини. Без цього результати будь-яких спроб гіпнозу або кодування психіки будуть </w:t>
      </w:r>
      <w:r w:rsidRPr="004E5991">
        <w:rPr>
          <w:rFonts w:ascii="Times New Roman" w:hAnsi="Times New Roman" w:cs="Times New Roman"/>
          <w:sz w:val="28"/>
          <w:szCs w:val="28"/>
        </w:rPr>
        <w:lastRenderedPageBreak/>
        <w:t>носити нестійкий і негарантований характе р. Як конкретні рекомендації для виходу із залежності можна запропонувати аутотренування (форму</w:t>
      </w:r>
      <w:r w:rsidRPr="004E5991">
        <w:rPr>
          <w:rFonts w:ascii="Times New Roman" w:hAnsi="Times New Roman" w:cs="Times New Roman"/>
          <w:sz w:val="28"/>
          <w:szCs w:val="28"/>
        </w:rPr>
        <w:softHyphen/>
        <w:t xml:space="preserve">вання відрази чи байдужості до паління), лікувальне голодування, фізичне тренування (компенсація для центру задоволення, очищення, формування 229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факторів неприйняття сигаретного диму), пасльонові продукти. Наприклад, помідори та баклажани містять нікотин і компенсують на перших порах його відсутність. З цією метою використовують жувальну гумку з нікоти</w:t>
      </w:r>
      <w:r w:rsidRPr="004E5991">
        <w:rPr>
          <w:rFonts w:ascii="Times New Roman" w:hAnsi="Times New Roman" w:cs="Times New Roman"/>
          <w:sz w:val="28"/>
          <w:szCs w:val="28"/>
        </w:rPr>
        <w:softHyphen/>
        <w:t xml:space="preserve">ном («нікоретте»).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b/>
          <w:bCs/>
          <w:sz w:val="28"/>
          <w:szCs w:val="28"/>
        </w:rPr>
        <w:t>Артеріальна гіпертензія</w:t>
      </w:r>
      <w:r w:rsidRPr="004E5991">
        <w:rPr>
          <w:rFonts w:ascii="Times New Roman" w:hAnsi="Times New Roman" w:cs="Times New Roman"/>
          <w:sz w:val="28"/>
          <w:szCs w:val="28"/>
        </w:rPr>
        <w:t>. Згідно з сучасними поглядами рівень АТ вище 140/90 мм. рт. ст. вже може розглядатися як чинник ризику, який збільшує можливість розвитку ІХС у 2 рази. Потенціює розвиток артеріальної гіпер</w:t>
      </w:r>
      <w:r w:rsidRPr="004E5991">
        <w:rPr>
          <w:rFonts w:ascii="Times New Roman" w:hAnsi="Times New Roman" w:cs="Times New Roman"/>
          <w:sz w:val="28"/>
          <w:szCs w:val="28"/>
        </w:rPr>
        <w:softHyphen/>
        <w:t xml:space="preserve">тензії паління, низька рухова активність, ожиріння, психоемоційний стрес.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Артеріальна гіпертензія сприяє механічному пошкодженню інтими су</w:t>
      </w:r>
      <w:r w:rsidRPr="004E5991">
        <w:rPr>
          <w:rFonts w:ascii="Times New Roman" w:hAnsi="Times New Roman" w:cs="Times New Roman"/>
          <w:sz w:val="28"/>
          <w:szCs w:val="28"/>
        </w:rPr>
        <w:softHyphen/>
        <w:t>дин, а також веде до розвитку патологічної гіпертрофії міокарда. Порушу</w:t>
      </w:r>
      <w:r w:rsidRPr="004E5991">
        <w:rPr>
          <w:rFonts w:ascii="Times New Roman" w:hAnsi="Times New Roman" w:cs="Times New Roman"/>
          <w:sz w:val="28"/>
          <w:szCs w:val="28"/>
        </w:rPr>
        <w:softHyphen/>
        <w:t>ється тонус судин, відбувається ранній прояв атеросклеротичних змін арте</w:t>
      </w:r>
      <w:r w:rsidRPr="004E5991">
        <w:rPr>
          <w:rFonts w:ascii="Times New Roman" w:hAnsi="Times New Roman" w:cs="Times New Roman"/>
          <w:sz w:val="28"/>
          <w:szCs w:val="28"/>
        </w:rPr>
        <w:softHyphen/>
        <w:t xml:space="preserve">ріального русла.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При початкових формах артеріальної гіпертензії немає потреби за</w:t>
      </w:r>
      <w:r w:rsidRPr="004E5991">
        <w:rPr>
          <w:rFonts w:ascii="Times New Roman" w:hAnsi="Times New Roman" w:cs="Times New Roman"/>
          <w:sz w:val="28"/>
          <w:szCs w:val="28"/>
        </w:rPr>
        <w:softHyphen/>
        <w:t>стосовувати гіпотензивні засоби. Цілком достатньо знизити надлишкову масу тіла, включити в щотижневий графік три-чотири тренування аероб</w:t>
      </w:r>
      <w:r w:rsidRPr="004E5991">
        <w:rPr>
          <w:rFonts w:ascii="Times New Roman" w:hAnsi="Times New Roman" w:cs="Times New Roman"/>
          <w:sz w:val="28"/>
          <w:szCs w:val="28"/>
        </w:rPr>
        <w:softHyphen/>
        <w:t>ного характеру з додатковими силовими вправами, адекватно керувати емоційним фоном при реагуванні на мінливі обставини життя (аутотре</w:t>
      </w:r>
      <w:r w:rsidRPr="004E5991">
        <w:rPr>
          <w:rFonts w:ascii="Times New Roman" w:hAnsi="Times New Roman" w:cs="Times New Roman"/>
          <w:sz w:val="28"/>
          <w:szCs w:val="28"/>
        </w:rPr>
        <w:softHyphen/>
        <w:t>нування, розвантаження психіки, вирівнювання рівня життєвих наванта</w:t>
      </w:r>
      <w:r w:rsidRPr="004E5991">
        <w:rPr>
          <w:rFonts w:ascii="Times New Roman" w:hAnsi="Times New Roman" w:cs="Times New Roman"/>
          <w:sz w:val="28"/>
          <w:szCs w:val="28"/>
        </w:rPr>
        <w:softHyphen/>
        <w:t xml:space="preserve">жень, гармонізація відносин з оточуючими тощо). У харчуванні необхідне обмеження кухонної солі та тваринних жирів з одночасним збільшенням вмісту клітковини в харчовому раціоні. Обов’язкова відмова від паління і алкоголю у великих дозах.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b/>
          <w:bCs/>
          <w:sz w:val="28"/>
          <w:szCs w:val="28"/>
        </w:rPr>
        <w:t xml:space="preserve">Дисліпопротеїнемія (ДЛП). </w:t>
      </w:r>
      <w:r w:rsidRPr="004E5991">
        <w:rPr>
          <w:rFonts w:ascii="Times New Roman" w:hAnsi="Times New Roman" w:cs="Times New Roman"/>
          <w:sz w:val="28"/>
          <w:szCs w:val="28"/>
        </w:rPr>
        <w:t>Основний прояв дисліпопротеїнемії — гіперхолестеринемія. Нормальний вміст холестерину в сироватці кро</w:t>
      </w:r>
      <w:r w:rsidRPr="004E5991">
        <w:rPr>
          <w:rFonts w:ascii="Times New Roman" w:hAnsi="Times New Roman" w:cs="Times New Roman"/>
          <w:sz w:val="28"/>
          <w:szCs w:val="28"/>
        </w:rPr>
        <w:softHyphen/>
        <w:t>ві — 167-181 мг % (4,32-4,68 ммоль/л). Граничне значення 193-202 мг % (4,99-5,22 ммоль/л), небезпечна концентрація — більше 260 мг % (6,8 ммоль/л. ДЛП підвищує ризик розвитку ІХС у 4 рази. Провокуючі фактори розвитку ДЛП: нераціональне харчування (багато тваринних жирів і мало клітковини), гіпокінезія, артеріальна гіпертензія, ожиріння.</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ДЛП — основний патогенетичний фактор розвитку атеросклерозу. Мають значення атерогенні фракції ліпопротеїнів (ЛП) — низької і дуже низької щільності (ЛПНЩ і ЛПДНЩ), а також зниження концентрації анти</w:t>
      </w:r>
      <w:r w:rsidRPr="004E5991">
        <w:rPr>
          <w:rFonts w:ascii="Times New Roman" w:hAnsi="Times New Roman" w:cs="Times New Roman"/>
          <w:sz w:val="28"/>
          <w:szCs w:val="28"/>
        </w:rPr>
        <w:softHyphen/>
        <w:t xml:space="preserve">атерогенних фракцій ЛП (ЛП високої щільності — ЛПВЩ).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lastRenderedPageBreak/>
        <w:t>Для нормалізації ліпідного обміну використовують фізичні наванта</w:t>
      </w:r>
      <w:r w:rsidRPr="004E5991">
        <w:rPr>
          <w:rFonts w:ascii="Times New Roman" w:hAnsi="Times New Roman" w:cs="Times New Roman"/>
          <w:sz w:val="28"/>
          <w:szCs w:val="28"/>
        </w:rPr>
        <w:softHyphen/>
        <w:t>ження помірної інтенсивності тривалістю 20-60 хвилин (аеробні вправи, спортивні ігри та ін.). Саме вони включають в метаболізм «зайві» ліпіди, використовують їх як енергетичний субстрат, а також сприяють зниженню індексу атерогенності. Важливе значення має харчування з наявністю вели</w:t>
      </w:r>
      <w:r w:rsidRPr="004E5991">
        <w:rPr>
          <w:rFonts w:ascii="Times New Roman" w:hAnsi="Times New Roman" w:cs="Times New Roman"/>
          <w:sz w:val="28"/>
          <w:szCs w:val="28"/>
        </w:rPr>
        <w:softHyphen/>
        <w:t>кої кількості харчових волокон, часнику, рослинних олій, продуктів моря. З м’ясних продуктів перевагу слід надавати «білому» м’ясу (страус, індики, кури), а також нежирній рибі, обмежити свинину, жирну баранину, вершко</w:t>
      </w:r>
      <w:r w:rsidRPr="004E5991">
        <w:rPr>
          <w:rFonts w:ascii="Times New Roman" w:hAnsi="Times New Roman" w:cs="Times New Roman"/>
          <w:sz w:val="28"/>
          <w:szCs w:val="28"/>
        </w:rPr>
        <w:softHyphen/>
        <w:t xml:space="preserve">ве масло, сметану, курячі яйця. 230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Стосовно препаратів гіполіпідемічної дії необхідний зважений підхід, обгрунтування показань до використання (наприклад, спадкова гіперхолес</w:t>
      </w:r>
      <w:r w:rsidRPr="004E5991">
        <w:rPr>
          <w:rFonts w:ascii="Times New Roman" w:hAnsi="Times New Roman" w:cs="Times New Roman"/>
          <w:sz w:val="28"/>
          <w:szCs w:val="28"/>
        </w:rPr>
        <w:softHyphen/>
        <w:t xml:space="preserve">теринемія).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Слід врахувати, що проміжний продукт білкового обміну — гомоцис</w:t>
      </w:r>
      <w:r w:rsidRPr="004E5991">
        <w:rPr>
          <w:rFonts w:ascii="Times New Roman" w:hAnsi="Times New Roman" w:cs="Times New Roman"/>
          <w:sz w:val="28"/>
          <w:szCs w:val="28"/>
        </w:rPr>
        <w:softHyphen/>
        <w:t>теїн — «прокладає доріжку» лiпiдам при їх проникненні в стінку артерій. Він нагромаджується при дефіциті вітамінів групи В, особливо фолієвої кислоти, В6, В12. Тому «середземноморська дієта», багата макаронами, про</w:t>
      </w:r>
      <w:r w:rsidRPr="004E5991">
        <w:rPr>
          <w:rFonts w:ascii="Times New Roman" w:hAnsi="Times New Roman" w:cs="Times New Roman"/>
          <w:sz w:val="28"/>
          <w:szCs w:val="28"/>
        </w:rPr>
        <w:softHyphen/>
        <w:t>дуктами із злаків, соєю, гречкою, бобовими, цитрусовими, зеленню і олив</w:t>
      </w:r>
      <w:r w:rsidRPr="004E5991">
        <w:rPr>
          <w:rFonts w:ascii="Times New Roman" w:hAnsi="Times New Roman" w:cs="Times New Roman"/>
          <w:sz w:val="28"/>
          <w:szCs w:val="28"/>
        </w:rPr>
        <w:softHyphen/>
        <w:t>ковою олією, сприяє попередженню нагромадження гомоцистеїну і є важ</w:t>
      </w:r>
      <w:r w:rsidRPr="004E5991">
        <w:rPr>
          <w:rFonts w:ascii="Times New Roman" w:hAnsi="Times New Roman" w:cs="Times New Roman"/>
          <w:sz w:val="28"/>
          <w:szCs w:val="28"/>
        </w:rPr>
        <w:softHyphen/>
        <w:t xml:space="preserve">ливим профілактичним засобом.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Надлишкова маса тіла (НМТ). Критерії надлишкової маси тіла — Body mass index (BMI) більше 28, співвідношення об’єму талії та окружності сте</w:t>
      </w:r>
      <w:r w:rsidRPr="004E5991">
        <w:rPr>
          <w:rFonts w:ascii="Times New Roman" w:hAnsi="Times New Roman" w:cs="Times New Roman"/>
          <w:sz w:val="28"/>
          <w:szCs w:val="28"/>
        </w:rPr>
        <w:softHyphen/>
        <w:t>гон у чоловіків більше 1,0; у жінок 0,8. Перевищення НМТ сприяє розви</w:t>
      </w:r>
      <w:r w:rsidRPr="004E5991">
        <w:rPr>
          <w:rFonts w:ascii="Times New Roman" w:hAnsi="Times New Roman" w:cs="Times New Roman"/>
          <w:sz w:val="28"/>
          <w:szCs w:val="28"/>
        </w:rPr>
        <w:softHyphen/>
        <w:t>тку АГ, ДЛП, атеросклерозу, викликає додаткове навантаження на міокард, сприяє порушенню мікроциркуляції та ішемії тканин. Докладніше пробле</w:t>
      </w:r>
      <w:r w:rsidRPr="004E5991">
        <w:rPr>
          <w:rFonts w:ascii="Times New Roman" w:hAnsi="Times New Roman" w:cs="Times New Roman"/>
          <w:sz w:val="28"/>
          <w:szCs w:val="28"/>
        </w:rPr>
        <w:softHyphen/>
        <w:t xml:space="preserve">ма викладена в розділі «Механізми оздоровчої дії фізичних вправ».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b/>
          <w:bCs/>
          <w:sz w:val="28"/>
          <w:szCs w:val="28"/>
        </w:rPr>
        <w:t>Хронічний психоемоційний стрес</w:t>
      </w:r>
      <w:r w:rsidRPr="004E5991">
        <w:rPr>
          <w:rFonts w:ascii="Times New Roman" w:hAnsi="Times New Roman" w:cs="Times New Roman"/>
          <w:sz w:val="28"/>
          <w:szCs w:val="28"/>
        </w:rPr>
        <w:t>. Цей стан є передумовою для фор</w:t>
      </w:r>
      <w:r w:rsidRPr="004E5991">
        <w:rPr>
          <w:rFonts w:ascii="Times New Roman" w:hAnsi="Times New Roman" w:cs="Times New Roman"/>
          <w:sz w:val="28"/>
          <w:szCs w:val="28"/>
        </w:rPr>
        <w:softHyphen/>
        <w:t>мування некоронарогенних некрозів міокарду, сприяє спазму коронарних артерій, згущення крові при одночасному зростанні потреби серцевого м’язу в кисні. Для протидії негативному впливу стресу використовують ау</w:t>
      </w:r>
      <w:r w:rsidRPr="004E5991">
        <w:rPr>
          <w:rFonts w:ascii="Times New Roman" w:hAnsi="Times New Roman" w:cs="Times New Roman"/>
          <w:sz w:val="28"/>
          <w:szCs w:val="28"/>
        </w:rPr>
        <w:softHyphen/>
        <w:t>тотренування, антиоксиданти, лікарські рослини з мяким антидепресант</w:t>
      </w:r>
      <w:r w:rsidRPr="004E5991">
        <w:rPr>
          <w:rFonts w:ascii="Times New Roman" w:hAnsi="Times New Roman" w:cs="Times New Roman"/>
          <w:sz w:val="28"/>
          <w:szCs w:val="28"/>
        </w:rPr>
        <w:softHyphen/>
        <w:t xml:space="preserve">ним та седативним ефектом.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На Заході великого поширення набули прийоми, що носять загальну на</w:t>
      </w:r>
      <w:r w:rsidRPr="004E5991">
        <w:rPr>
          <w:rFonts w:ascii="Times New Roman" w:hAnsi="Times New Roman" w:cs="Times New Roman"/>
          <w:sz w:val="28"/>
          <w:szCs w:val="28"/>
        </w:rPr>
        <w:softHyphen/>
        <w:t>зву копінг Копінг — це вироблення поведінки, що має на меті зменшен</w:t>
      </w:r>
      <w:r w:rsidRPr="004E5991">
        <w:rPr>
          <w:rFonts w:ascii="Times New Roman" w:hAnsi="Times New Roman" w:cs="Times New Roman"/>
          <w:sz w:val="28"/>
          <w:szCs w:val="28"/>
        </w:rPr>
        <w:softHyphen/>
        <w:t>ня або виключення психологічного дистресу або обставин, що викликають стрес (Тьюбсинг, 1993 р.). Це психотерапевтичні прийоми — від самооцін</w:t>
      </w:r>
      <w:r w:rsidRPr="004E5991">
        <w:rPr>
          <w:rFonts w:ascii="Times New Roman" w:hAnsi="Times New Roman" w:cs="Times New Roman"/>
          <w:sz w:val="28"/>
          <w:szCs w:val="28"/>
        </w:rPr>
        <w:softHyphen/>
        <w:t>ки до формування конкретних моделей поведінки в тій чи іншій ситуації, що травмує психіку. Особливо це важливо для індивідів, які за своєю по</w:t>
      </w:r>
      <w:r w:rsidRPr="004E5991">
        <w:rPr>
          <w:rFonts w:ascii="Times New Roman" w:hAnsi="Times New Roman" w:cs="Times New Roman"/>
          <w:sz w:val="28"/>
          <w:szCs w:val="28"/>
        </w:rPr>
        <w:softHyphen/>
        <w:t xml:space="preserve">ведінкою відносяться до типу А.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lastRenderedPageBreak/>
        <w:t xml:space="preserve">Не слід забувати про позитивний вплив фізичного навантаження, яке сприяє утилізації підвищених концентрацій катехоламінів у крові.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b/>
          <w:bCs/>
          <w:sz w:val="28"/>
          <w:szCs w:val="28"/>
        </w:rPr>
        <w:t>Порушення толерантності до вуглеводів</w:t>
      </w:r>
      <w:r w:rsidRPr="004E5991">
        <w:rPr>
          <w:rFonts w:ascii="Times New Roman" w:hAnsi="Times New Roman" w:cs="Times New Roman"/>
          <w:sz w:val="28"/>
          <w:szCs w:val="28"/>
        </w:rPr>
        <w:t>. Підвищення концентрації глюкози в сироватці крові призводить до формування ангіопатій та ранньо</w:t>
      </w:r>
      <w:r w:rsidRPr="004E5991">
        <w:rPr>
          <w:rFonts w:ascii="Times New Roman" w:hAnsi="Times New Roman" w:cs="Times New Roman"/>
          <w:sz w:val="28"/>
          <w:szCs w:val="28"/>
        </w:rPr>
        <w:softHyphen/>
        <w:t>го розвитку атеросклерозу. Для корекції вуглеводного обміну використову</w:t>
      </w:r>
      <w:r w:rsidRPr="004E5991">
        <w:rPr>
          <w:rFonts w:ascii="Times New Roman" w:hAnsi="Times New Roman" w:cs="Times New Roman"/>
          <w:sz w:val="28"/>
          <w:szCs w:val="28"/>
        </w:rPr>
        <w:softHyphen/>
        <w:t>ють регулярне фізичне навантаження аеробного характеру, усунення з раці</w:t>
      </w:r>
      <w:r w:rsidRPr="004E5991">
        <w:rPr>
          <w:rFonts w:ascii="Times New Roman" w:hAnsi="Times New Roman" w:cs="Times New Roman"/>
          <w:sz w:val="28"/>
          <w:szCs w:val="28"/>
        </w:rPr>
        <w:softHyphen/>
        <w:t xml:space="preserve">ону харчування простих вуглеводів (глюкоза). Має значення вживання в їжу певних харчових і лікарських рослин (топінамбур — «земляна груша»).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b/>
          <w:bCs/>
          <w:sz w:val="28"/>
          <w:szCs w:val="28"/>
        </w:rPr>
        <w:t xml:space="preserve">Гіпокінезія </w:t>
      </w:r>
      <w:r w:rsidRPr="004E5991">
        <w:rPr>
          <w:rFonts w:ascii="Times New Roman" w:hAnsi="Times New Roman" w:cs="Times New Roman"/>
          <w:sz w:val="28"/>
          <w:szCs w:val="28"/>
        </w:rPr>
        <w:t>— найбільш суперечливий критерій ризику розвитку ІХС. На думку ВООЗ, низька рухова активність не є самостійним і значущим чинником ризику розвитку ІХС. Незважаючи на величезну кількість епіде</w:t>
      </w:r>
      <w:r w:rsidRPr="004E5991">
        <w:rPr>
          <w:rFonts w:ascii="Times New Roman" w:hAnsi="Times New Roman" w:cs="Times New Roman"/>
          <w:sz w:val="28"/>
          <w:szCs w:val="28"/>
        </w:rPr>
        <w:softHyphen/>
        <w:t>міологічних досліджень, виконаних у період з 1950 по 2000 роки на вели</w:t>
      </w:r>
      <w:r w:rsidRPr="004E5991">
        <w:rPr>
          <w:rFonts w:ascii="Times New Roman" w:hAnsi="Times New Roman" w:cs="Times New Roman"/>
          <w:sz w:val="28"/>
          <w:szCs w:val="28"/>
        </w:rPr>
        <w:softHyphen/>
        <w:t xml:space="preserve">ких масивах досліджуваних, роль рухової активності залишається спірною. 231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В одній третині робіт не вдалося підтвердити однозначно зв’язок низького рівня рухової активності з підвищеним ризиком розвитку ІХС і навпаки.</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Найбільш відомі дослідження полягали в наступному. Англійські водії дво</w:t>
      </w:r>
      <w:r w:rsidRPr="004E5991">
        <w:rPr>
          <w:rFonts w:ascii="Times New Roman" w:hAnsi="Times New Roman" w:cs="Times New Roman"/>
          <w:sz w:val="28"/>
          <w:szCs w:val="28"/>
        </w:rPr>
        <w:softHyphen/>
        <w:t>поверхових автобусів і кондуктори, що їх обслуговують, поштові працівники, що отримують пошту та їх колеги, які розвозять пошту на велосипедах, до</w:t>
      </w:r>
      <w:r w:rsidRPr="004E5991">
        <w:rPr>
          <w:rFonts w:ascii="Times New Roman" w:hAnsi="Times New Roman" w:cs="Times New Roman"/>
          <w:sz w:val="28"/>
          <w:szCs w:val="28"/>
        </w:rPr>
        <w:softHyphen/>
        <w:t xml:space="preserve">стовірно відрізнялися за захворюваністю та смертністю від ІХС (J. K. Morris).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Протягом 30 років проводилися спостереження над випускниками Гар</w:t>
      </w:r>
      <w:r w:rsidRPr="004E5991">
        <w:rPr>
          <w:rFonts w:ascii="Times New Roman" w:hAnsi="Times New Roman" w:cs="Times New Roman"/>
          <w:sz w:val="28"/>
          <w:szCs w:val="28"/>
        </w:rPr>
        <w:softHyphen/>
        <w:t>вардського університету, які відрізнялися за рівнем рухової активності. Ма</w:t>
      </w:r>
      <w:r w:rsidRPr="004E5991">
        <w:rPr>
          <w:rFonts w:ascii="Times New Roman" w:hAnsi="Times New Roman" w:cs="Times New Roman"/>
          <w:sz w:val="28"/>
          <w:szCs w:val="28"/>
        </w:rPr>
        <w:softHyphen/>
        <w:t xml:space="preserve">лорухомі випускники частіше хворіли інфарктом міокарду і вмирали від нього (Paffenberger).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З іншого боку, фінські лісоруби, які мали високий рівень енерговитрат протягом доби, частіше хворіли і вмирали від інфаркту міокарду, в порівнян</w:t>
      </w:r>
      <w:r w:rsidRPr="004E5991">
        <w:rPr>
          <w:rFonts w:ascii="Times New Roman" w:hAnsi="Times New Roman" w:cs="Times New Roman"/>
          <w:sz w:val="28"/>
          <w:szCs w:val="28"/>
        </w:rPr>
        <w:softHyphen/>
        <w:t xml:space="preserve">ні з чоловіками, у яких добова активність виявилася меншою (M. Karvonen).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Причина подібних розбіжностей встановлена (Г.Л. Апанасенко, Н. В. Морозов). Виявилося, що в епідеміологічних дослідженнях, присвя</w:t>
      </w:r>
      <w:r w:rsidRPr="004E5991">
        <w:rPr>
          <w:rFonts w:ascii="Times New Roman" w:hAnsi="Times New Roman" w:cs="Times New Roman"/>
          <w:sz w:val="28"/>
          <w:szCs w:val="28"/>
        </w:rPr>
        <w:softHyphen/>
        <w:t>чених ролі рухової активності у виникненні ІХС, не враховували її спря</w:t>
      </w:r>
      <w:r w:rsidRPr="004E5991">
        <w:rPr>
          <w:rFonts w:ascii="Times New Roman" w:hAnsi="Times New Roman" w:cs="Times New Roman"/>
          <w:sz w:val="28"/>
          <w:szCs w:val="28"/>
        </w:rPr>
        <w:softHyphen/>
        <w:t>мованість та інтенсивність, тобто те головне, що визначає кінцевий ефект фізичного навантаження. Як тільки акцент у дослідженні переноситься з обсягу навантаження на інші його характеристики, а також кінцевий ре</w:t>
      </w:r>
      <w:r w:rsidRPr="004E5991">
        <w:rPr>
          <w:rFonts w:ascii="Times New Roman" w:hAnsi="Times New Roman" w:cs="Times New Roman"/>
          <w:sz w:val="28"/>
          <w:szCs w:val="28"/>
        </w:rPr>
        <w:softHyphen/>
        <w:t>зультат (рівень соматичного здоров’я), тоді стає очевидною роль рухової активності у профілактиці ІХС. Таким чином, низький рівень фізичного (соматичного) здоров’я є важливим фактором ризику ІХС. Проте високий і вище середнього рівні можна вважати безпечними в цьому відношенні.</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lastRenderedPageBreak/>
        <w:t>Кардіопротекторний ефект мають аеробні фізичні вправи циклічного характеру при інтенсивності, що супроводжується ЧСС 65-85 % від макси</w:t>
      </w:r>
      <w:r w:rsidRPr="004E5991">
        <w:rPr>
          <w:rFonts w:ascii="Times New Roman" w:hAnsi="Times New Roman" w:cs="Times New Roman"/>
          <w:sz w:val="28"/>
          <w:szCs w:val="28"/>
        </w:rPr>
        <w:softHyphen/>
        <w:t xml:space="preserve">мальної (50-75 % від МПК). Гіпокінезія призводить до розвитку, факторів ризику виникнення ІХС перерахованих вище.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b/>
          <w:bCs/>
          <w:sz w:val="28"/>
          <w:szCs w:val="28"/>
        </w:rPr>
        <w:t xml:space="preserve">Зловживання алкоголем </w:t>
      </w:r>
      <w:r w:rsidRPr="004E5991">
        <w:rPr>
          <w:rFonts w:ascii="Times New Roman" w:hAnsi="Times New Roman" w:cs="Times New Roman"/>
          <w:sz w:val="28"/>
          <w:szCs w:val="28"/>
        </w:rPr>
        <w:t>— найважливіший фактор ризику розвитку захворювань. Проте регулярне споживання червоних натуральних виноградних вин має кардіопротекторний ефект за рахунок фенольних сполук, що містяться в кісточках і шкірці червоного винограду («Французький феномен»).</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b/>
          <w:bCs/>
          <w:sz w:val="28"/>
          <w:szCs w:val="28"/>
        </w:rPr>
        <w:t>Підвищенне згортання крові</w:t>
      </w:r>
      <w:r w:rsidRPr="004E5991">
        <w:rPr>
          <w:rFonts w:ascii="Times New Roman" w:hAnsi="Times New Roman" w:cs="Times New Roman"/>
          <w:sz w:val="28"/>
          <w:szCs w:val="28"/>
        </w:rPr>
        <w:t>. Підвищення згортання крові призводить до обмеження швидкості та об’єму кровообігу і є одним з найважливіших патогенетичних механізмів ішемії міокарду. Для зниження в’язкості крові необхідне збільшення кількості рослинної їжі в добовому раціоні, рослинних і фруктових соків, мінеральних вод, регулярна рухова активність, очищення організму, ліквідація явищ дисбактеріозу.</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b/>
          <w:bCs/>
          <w:sz w:val="28"/>
          <w:szCs w:val="28"/>
        </w:rPr>
        <w:t xml:space="preserve">Спадковість </w:t>
      </w:r>
      <w:r w:rsidRPr="004E5991">
        <w:rPr>
          <w:rFonts w:ascii="Times New Roman" w:hAnsi="Times New Roman" w:cs="Times New Roman"/>
          <w:sz w:val="28"/>
          <w:szCs w:val="28"/>
        </w:rPr>
        <w:t xml:space="preserve">має величезне значення в прогнозуванні можливості розвитку захворювання. Сімейна патологія дуже поширена (М. А. Булгаков — нефросклероз на тлі гіпертензії. Наполеон — рак шлунка та ін.) і повинна налаштовувати лікаря й пацієнта на цілеспрямовані профілактичні заходи. 232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b/>
          <w:bCs/>
          <w:sz w:val="28"/>
          <w:szCs w:val="28"/>
        </w:rPr>
        <w:t>Профілактика гострого порушення мозкового кровообігу (ГПМК)</w:t>
      </w:r>
    </w:p>
    <w:p w:rsidR="008C3840" w:rsidRDefault="008C3840" w:rsidP="008C3840">
      <w:pPr>
        <w:spacing w:after="0"/>
        <w:ind w:firstLine="567"/>
        <w:contextualSpacing/>
        <w:jc w:val="both"/>
        <w:rPr>
          <w:rFonts w:ascii="Times New Roman" w:hAnsi="Times New Roman" w:cs="Times New Roman"/>
          <w:sz w:val="28"/>
          <w:szCs w:val="28"/>
          <w:lang w:val="uk-UA"/>
        </w:rPr>
      </w:pPr>
      <w:r w:rsidRPr="004E5991">
        <w:rPr>
          <w:rFonts w:ascii="Times New Roman" w:hAnsi="Times New Roman" w:cs="Times New Roman"/>
          <w:sz w:val="28"/>
          <w:szCs w:val="28"/>
        </w:rPr>
        <w:t>ГПМК ішемічного типу: нормалізація рівня артеріального тиску (при гіпотензії може зберігатися високий ризик), протиревматична терапія і санація вогнищ хронічної інфекції (при наявності ревмоваскуліту з’являється ризик ГПМК), зниження в’язкості крові (у тому числі за допомогою антиагрегантів), гіполіпідемічна терапія та усунення дисліпопротеїнемії, поліпшення мозкового кровообігу (гінкго білоба), контроль психоемоц</w:t>
      </w:r>
      <w:r w:rsidR="0034034F">
        <w:rPr>
          <w:rFonts w:ascii="Times New Roman" w:hAnsi="Times New Roman" w:cs="Times New Roman"/>
          <w:sz w:val="28"/>
          <w:szCs w:val="28"/>
        </w:rPr>
        <w:t>ійного стану.</w:t>
      </w:r>
    </w:p>
    <w:p w:rsidR="0034034F" w:rsidRPr="0034034F" w:rsidRDefault="0034034F" w:rsidP="008C3840">
      <w:pPr>
        <w:spacing w:after="0"/>
        <w:ind w:firstLine="567"/>
        <w:contextualSpacing/>
        <w:jc w:val="both"/>
        <w:rPr>
          <w:rFonts w:ascii="Times New Roman" w:hAnsi="Times New Roman" w:cs="Times New Roman"/>
          <w:sz w:val="28"/>
          <w:szCs w:val="28"/>
          <w:lang w:val="uk-UA"/>
        </w:rPr>
      </w:pPr>
    </w:p>
    <w:p w:rsidR="008C3840" w:rsidRPr="0034034F" w:rsidRDefault="008C3840" w:rsidP="0034034F">
      <w:pPr>
        <w:pStyle w:val="a3"/>
        <w:numPr>
          <w:ilvl w:val="0"/>
          <w:numId w:val="2"/>
        </w:numPr>
        <w:spacing w:after="0"/>
        <w:jc w:val="both"/>
        <w:rPr>
          <w:rFonts w:ascii="Times New Roman" w:hAnsi="Times New Roman" w:cs="Times New Roman"/>
          <w:sz w:val="28"/>
          <w:szCs w:val="28"/>
        </w:rPr>
      </w:pPr>
      <w:r w:rsidRPr="0034034F">
        <w:rPr>
          <w:rFonts w:ascii="Times New Roman" w:hAnsi="Times New Roman" w:cs="Times New Roman"/>
          <w:b/>
          <w:bCs/>
          <w:sz w:val="28"/>
          <w:szCs w:val="28"/>
        </w:rPr>
        <w:t>Профілактика злоякісних новоутворень</w:t>
      </w:r>
    </w:p>
    <w:p w:rsidR="0034034F" w:rsidRPr="0034034F" w:rsidRDefault="0034034F" w:rsidP="0034034F">
      <w:pPr>
        <w:pStyle w:val="a3"/>
        <w:spacing w:after="0"/>
        <w:ind w:left="927"/>
        <w:jc w:val="both"/>
        <w:rPr>
          <w:rFonts w:ascii="Times New Roman" w:hAnsi="Times New Roman" w:cs="Times New Roman"/>
          <w:sz w:val="28"/>
          <w:szCs w:val="28"/>
        </w:rPr>
      </w:pP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У 1989 році у світі зареєстровано 4 млн. смертей від злоякісних ново</w:t>
      </w:r>
      <w:r w:rsidRPr="004E5991">
        <w:rPr>
          <w:rFonts w:ascii="Times New Roman" w:hAnsi="Times New Roman" w:cs="Times New Roman"/>
          <w:sz w:val="28"/>
          <w:szCs w:val="28"/>
        </w:rPr>
        <w:softHyphen/>
        <w:t>утворень. Частота випадків раку подвоїлася глобально між 1975 та 2000 ро</w:t>
      </w:r>
      <w:r w:rsidRPr="004E5991">
        <w:rPr>
          <w:rFonts w:ascii="Times New Roman" w:hAnsi="Times New Roman" w:cs="Times New Roman"/>
          <w:sz w:val="28"/>
          <w:szCs w:val="28"/>
        </w:rPr>
        <w:softHyphen/>
        <w:t>ками, збільшиться у два рази знову до 2020 року і майже у три рази — до 2030 року. Прогнозовані дані на 2030 рік — 20-26 мільйонів нових діа</w:t>
      </w:r>
      <w:r w:rsidRPr="004E5991">
        <w:rPr>
          <w:rFonts w:ascii="Times New Roman" w:hAnsi="Times New Roman" w:cs="Times New Roman"/>
          <w:sz w:val="28"/>
          <w:szCs w:val="28"/>
        </w:rPr>
        <w:softHyphen/>
        <w:t xml:space="preserve">гнозів і 13-17 мільйонів смертей. Світове співтовариство може очікувати збільшення поширеності цієї патології приблизно на 1 % щороку.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В Україні у загальній структурі смертності онкологічна патологія за</w:t>
      </w:r>
      <w:r w:rsidRPr="004E5991">
        <w:rPr>
          <w:rFonts w:ascii="Times New Roman" w:hAnsi="Times New Roman" w:cs="Times New Roman"/>
          <w:sz w:val="28"/>
          <w:szCs w:val="28"/>
        </w:rPr>
        <w:softHyphen/>
        <w:t xml:space="preserve">ймає 2-е місце (17-18 % від загальної смертності). Віковий її пік припадає на 45-70 </w:t>
      </w:r>
      <w:r w:rsidRPr="004E5991">
        <w:rPr>
          <w:rFonts w:ascii="Times New Roman" w:hAnsi="Times New Roman" w:cs="Times New Roman"/>
          <w:sz w:val="28"/>
          <w:szCs w:val="28"/>
        </w:rPr>
        <w:lastRenderedPageBreak/>
        <w:t xml:space="preserve">років. Виявляється загальна тенденція до омолодження патології. В останні роки зростає частота раку передміхурової залози у чоловіків та молочної залози у жінок.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Головний механізм виникнення захворювання — порушення в гене</w:t>
      </w:r>
      <w:r w:rsidRPr="004E5991">
        <w:rPr>
          <w:rFonts w:ascii="Times New Roman" w:hAnsi="Times New Roman" w:cs="Times New Roman"/>
          <w:sz w:val="28"/>
          <w:szCs w:val="28"/>
        </w:rPr>
        <w:softHyphen/>
        <w:t>тичному апараті клітини, що призводить до нестримного неконтрольовано</w:t>
      </w:r>
      <w:r w:rsidRPr="004E5991">
        <w:rPr>
          <w:rFonts w:ascii="Times New Roman" w:hAnsi="Times New Roman" w:cs="Times New Roman"/>
          <w:sz w:val="28"/>
          <w:szCs w:val="28"/>
        </w:rPr>
        <w:softHyphen/>
        <w:t>го їх поділу. Причини переродження геному — хімічні канцерогени, іоні</w:t>
      </w:r>
      <w:r w:rsidRPr="004E5991">
        <w:rPr>
          <w:rFonts w:ascii="Times New Roman" w:hAnsi="Times New Roman" w:cs="Times New Roman"/>
          <w:sz w:val="28"/>
          <w:szCs w:val="28"/>
        </w:rPr>
        <w:softHyphen/>
        <w:t xml:space="preserve">зуюча радіація, онковіруси.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Існують уявлення, що пухлина — це скупчення гомотоксинів, депоно</w:t>
      </w:r>
      <w:r w:rsidRPr="004E5991">
        <w:rPr>
          <w:rFonts w:ascii="Times New Roman" w:hAnsi="Times New Roman" w:cs="Times New Roman"/>
          <w:sz w:val="28"/>
          <w:szCs w:val="28"/>
        </w:rPr>
        <w:softHyphen/>
        <w:t>ваних у внутрішніх середовищах організму (Реккевег). Крім вірусів, на роль онкогенних агентів претендують хламідії, трихомонади, грибки, мікоплаз</w:t>
      </w:r>
      <w:r w:rsidRPr="004E5991">
        <w:rPr>
          <w:rFonts w:ascii="Times New Roman" w:hAnsi="Times New Roman" w:cs="Times New Roman"/>
          <w:sz w:val="28"/>
          <w:szCs w:val="28"/>
        </w:rPr>
        <w:softHyphen/>
        <w:t>ми. У групах, для яких характерні вторинні імунодефіцити (діти, люди по</w:t>
      </w:r>
      <w:r w:rsidRPr="004E5991">
        <w:rPr>
          <w:rFonts w:ascii="Times New Roman" w:hAnsi="Times New Roman" w:cs="Times New Roman"/>
          <w:sz w:val="28"/>
          <w:szCs w:val="28"/>
        </w:rPr>
        <w:softHyphen/>
        <w:t xml:space="preserve">хилого віку, фахівці, що працюють на шкідливих виробництвах), пухлини розвиваються частіше.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Таким чином, пухлини розвиваються при дії різних екзогенних факторів на геном людини на тлі порушеної діяльності захисної системи (система імуніте</w:t>
      </w:r>
      <w:r w:rsidRPr="004E5991">
        <w:rPr>
          <w:rFonts w:ascii="Times New Roman" w:hAnsi="Times New Roman" w:cs="Times New Roman"/>
          <w:sz w:val="28"/>
          <w:szCs w:val="28"/>
        </w:rPr>
        <w:softHyphen/>
        <w:t xml:space="preserve">ту, лімфатична система, шкіра, мезенхіма, печінка, нирки, дихальна система).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 xml:space="preserve">Серед онкогенних факторів, що залежать від способу життя людини, необхідно відзначити наступні: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 xml:space="preserve">– психосоматична дисгармонія і дезадаптація — негативні емоції, неврози, психастенія, депресія, кумуляція втоми, синдром хронічної втоми, хронічний психоемоційний стрес, надмірна інтровертованість, внутрішнє незадоволення, втрата сенсу життя, почуття провини тощо. Результат — імунодефіцит;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 гіпокінезія, розумові та емоційні лінощі (синдром Обломова) призводять до зниження мікроциркуляції, енерго- та імунодефіциту, зниження адаптаційного потенціалу організму;</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 порушення ендоекології (дисбіоз) — захоплення нераціональною антибіотикотерапією, штучне вигодовування, відсутність у раціоні рослинної клітковини і кисломолочних продуктів, персистенція вірусів, хламідій і трихомонад, мікоплазм, грибкової флори. Результат — пряма канцерогенна дія, імунодефіцит;</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 канцерогенні фактори їжі — рафінована їжа, надлишок тваринних жирів, смажена і копчена їжа, надлишок простих вуглеводів, нітрати, токсини, цвіль, хронічні закрепи, калові камені, погане пережовування їжі, «швидка їжа», дуже гаряча їжа тощо;</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 гомотоксикоз — недостатня діяльність органів виділення, порушення правил особистої гігієни, депонування токсинів у шкірі, мезенхімі, паренхімі печінки і нирок та ін.;</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lastRenderedPageBreak/>
        <w:t>– «духовне забруднення» — злість, агресія, заздрість, тиранія та ін.;</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 порушення в репродуктивній та сексуальній сфері — аборти, зневажання лактацією, дисгармонія в сексуальній сфері (нерегулярне статеве життя, фізич</w:t>
      </w:r>
      <w:r w:rsidRPr="004E5991">
        <w:rPr>
          <w:rFonts w:ascii="Times New Roman" w:hAnsi="Times New Roman" w:cs="Times New Roman"/>
          <w:sz w:val="28"/>
          <w:szCs w:val="28"/>
        </w:rPr>
        <w:softHyphen/>
        <w:t>на і психологічна незадоволеність, порушення в гігієні статевих органів, часта зміна статевих партнерів (небезпека зараження венеричними захворюваннями), тривале застосування оральних контрацептивів (надлишок естрогенів) та ін.;</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 енергоагресія — синтетичний одяг та взуття, бетонно-блокові бу</w:t>
      </w:r>
      <w:r w:rsidRPr="004E5991">
        <w:rPr>
          <w:rFonts w:ascii="Times New Roman" w:hAnsi="Times New Roman" w:cs="Times New Roman"/>
          <w:sz w:val="28"/>
          <w:szCs w:val="28"/>
        </w:rPr>
        <w:softHyphen/>
        <w:t>динки, радіація, «електронний смог» (захоплення переглядом телепередач, комп’ютерами, постійна робота електронно-побутових приладів) тощо;</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 надлишкова маса тіла — нагромадження естрогенів;</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 екзогенні канцерогени — зайва інсоляція, геопатогенні зони, пести</w:t>
      </w:r>
      <w:r w:rsidRPr="004E5991">
        <w:rPr>
          <w:rFonts w:ascii="Times New Roman" w:hAnsi="Times New Roman" w:cs="Times New Roman"/>
          <w:sz w:val="28"/>
          <w:szCs w:val="28"/>
        </w:rPr>
        <w:softHyphen/>
        <w:t>циди, зловживання алкоголем і палінням;</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 застій кровообігу — носіння тісного одягу та взуття (тугий бюстгал</w:t>
      </w:r>
      <w:r w:rsidRPr="004E5991">
        <w:rPr>
          <w:rFonts w:ascii="Times New Roman" w:hAnsi="Times New Roman" w:cs="Times New Roman"/>
          <w:sz w:val="28"/>
          <w:szCs w:val="28"/>
        </w:rPr>
        <w:softHyphen/>
        <w:t>тер та ін.);</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b/>
          <w:bCs/>
          <w:sz w:val="28"/>
          <w:szCs w:val="28"/>
        </w:rPr>
        <w:t>Заходи щодо онкопрофілактики</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1. Обмеження впливу канцерогенних факторів середовища.</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2. Усунення гемотоксикозу і відновлення гомеостазу внутрішнього середовища організму, ліквідація гіпоксії та застійних явищ.</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3. Психосоматична і ментально-духовна гармонізація.</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4. Підвищення рівня адаптаційних резервів організму.</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5. Ліквідація дисбіозу.</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b/>
          <w:bCs/>
          <w:sz w:val="28"/>
          <w:szCs w:val="28"/>
        </w:rPr>
        <w:t>Товстий кишечник</w:t>
      </w:r>
      <w:r w:rsidRPr="004E5991">
        <w:rPr>
          <w:rFonts w:ascii="Times New Roman" w:hAnsi="Times New Roman" w:cs="Times New Roman"/>
          <w:sz w:val="28"/>
          <w:szCs w:val="28"/>
        </w:rPr>
        <w:t xml:space="preserve">. Фактори ризику: надмірне споживання тваринних жирів і білків (підвищують рівень жовчних кислот — канцерогенів), нестача рослинної клітковини, дисбактеріоз, процеси гниття. Нестача у раціоні селену, вітамінів А і С, закрепи. Хронічні запальні процеси. Передракові стани — поліпи, дивертикульоз. Переїдання і харчування «всухом’ятку». Гіпокінезія і слабкість м’язів передньої черевної стінки. По234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 xml:space="preserve">передження: боротьба з факторами ризику. 1 раз на місяць — клізма. Фітопрофілактика — гіркоти, рослинна клітковина, часник, вітаміни А і С. Заселення кишечника живою біфідофлорою: йогурти, лінекс, ацидофільне молоко та ін. Лікування захворювань і ліквідація передракових станів. Вживання нерафінованих продуктів, хліба з висівками, харчових волокон.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b/>
          <w:bCs/>
          <w:sz w:val="28"/>
          <w:szCs w:val="28"/>
        </w:rPr>
        <w:t>Шлунок</w:t>
      </w:r>
      <w:r w:rsidRPr="004E5991">
        <w:rPr>
          <w:rFonts w:ascii="Times New Roman" w:hAnsi="Times New Roman" w:cs="Times New Roman"/>
          <w:sz w:val="28"/>
          <w:szCs w:val="28"/>
        </w:rPr>
        <w:t xml:space="preserve">. Фактори ризику: надлишок простих вуглеводів (солодощі, випічка), груба їжа, погане пережовування їжі, травмування слизової оболонки. Інфекційні агенти (хелікобактер пілорі, герпес). Алкоголь, паління, зловживання кавою. Зловживання сушеною, в’яленої, солоною рибою, гострі маринади в овочах. Копченості (особливо риба), нітрати в їжі. Наявність виразкової хвороби шлунка та 12-палої кишки. Група крові А (ІІ).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b/>
          <w:bCs/>
          <w:sz w:val="28"/>
          <w:szCs w:val="28"/>
        </w:rPr>
        <w:lastRenderedPageBreak/>
        <w:t xml:space="preserve">Шкіра. </w:t>
      </w:r>
      <w:r w:rsidRPr="004E5991">
        <w:rPr>
          <w:rFonts w:ascii="Times New Roman" w:hAnsi="Times New Roman" w:cs="Times New Roman"/>
          <w:sz w:val="28"/>
          <w:szCs w:val="28"/>
        </w:rPr>
        <w:t xml:space="preserve">Фактори ризику: надмірна інсоляція, особливо з 10 до 17 годин, сонячні опіки, тривале перегрівання, навіть в одязі. Аплікації поліциклічними ароматичними вуглеводнями (дьоготь, бензол, мазут). Блондинам з блідою, мало пігментованою шкірою — особливо небезпечно загоряти. Передракові стани — вроджені плями, бородавки, їх пошкодження. Забруднення печінки, зокрема стероїдами.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b/>
          <w:bCs/>
          <w:sz w:val="28"/>
          <w:szCs w:val="28"/>
        </w:rPr>
        <w:t>Молочна залоза</w:t>
      </w:r>
      <w:r w:rsidRPr="004E5991">
        <w:rPr>
          <w:rFonts w:ascii="Times New Roman" w:hAnsi="Times New Roman" w:cs="Times New Roman"/>
          <w:sz w:val="28"/>
          <w:szCs w:val="28"/>
        </w:rPr>
        <w:t xml:space="preserve">. Виражена тенденція до збільшення захворюваності та смертності. Фактори ризику: життя без шлюбу, відмова від годування грудьми, недостатній термін лактації, єдині пологи. Аборти, дисменорея, статевий інфантилізм, пізнє встановлення менархе. Початок статевого життя після 30 років і пізні пологи (після 40 років). Нерегулярне статеве життя, зниження лібідо, рання менопауза. Гіперестрогенемія, в тому числі в менопаузі, тривале використання оральних контрацептивів, ожиріння — з тієї ж причини. Великий плід, післяпологовий мастит. Тугий бюстгальтер більше 10 годин на добу, силіконові протези. Препарати раувольфії, гіпотиреоз. Інсоляція з оголеними грудьми.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 xml:space="preserve">Попередження: регулярне статеве життя, відмова від абортів, грудне вигодовування, вільний бюстгальте р. Регулярний огляд молочної залози.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b/>
          <w:bCs/>
          <w:sz w:val="28"/>
          <w:szCs w:val="28"/>
        </w:rPr>
        <w:t>Шийка матки</w:t>
      </w:r>
      <w:r w:rsidRPr="004E5991">
        <w:rPr>
          <w:rFonts w:ascii="Times New Roman" w:hAnsi="Times New Roman" w:cs="Times New Roman"/>
          <w:sz w:val="28"/>
          <w:szCs w:val="28"/>
        </w:rPr>
        <w:t xml:space="preserve">. Фактори ризику: початок статевого життя до фізіологічного дозрівання (раніше 17 років), ранні пологи. Велика кількість статевих партнерів і заміжжя, випадкові статеві зв’язки, недотримання статевим партнером правил особистої гігієни (у смегмі — вірус папіломи і генітального герпесу). Пологові травми, ерозія шийки матки. Хронічні інфекції, що передаються статевим шляхом, — хламідії, мікоплазми, трихомонади, дисбактеріоз вагіни, вагініт, ендометрит, більше 3 пологів. Попередження — регулярний (1-2 рази в рік) огляд гінеколога, контроль мікрофлори.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b/>
          <w:bCs/>
          <w:sz w:val="28"/>
          <w:szCs w:val="28"/>
        </w:rPr>
        <w:t>Яєчники</w:t>
      </w:r>
      <w:r w:rsidRPr="004E5991">
        <w:rPr>
          <w:rFonts w:ascii="Times New Roman" w:hAnsi="Times New Roman" w:cs="Times New Roman"/>
          <w:sz w:val="28"/>
          <w:szCs w:val="28"/>
        </w:rPr>
        <w:t xml:space="preserve">. Фактори ризику: надмірна маса тіла, дисменорея, пізнє менархе. Пізня менопауза, метрорагія в менопаузі. Пізній початок статевого життя, аборти.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b/>
          <w:bCs/>
          <w:sz w:val="28"/>
          <w:szCs w:val="28"/>
        </w:rPr>
        <w:t>Легені</w:t>
      </w:r>
      <w:r w:rsidRPr="004E5991">
        <w:rPr>
          <w:rFonts w:ascii="Times New Roman" w:hAnsi="Times New Roman" w:cs="Times New Roman"/>
          <w:sz w:val="28"/>
          <w:szCs w:val="28"/>
        </w:rPr>
        <w:t xml:space="preserve">. Фактори ризику: паління пропорційно числу сигарет на добу, пасивне куріння (радіоактивний полоній). Алкоголізм. Професійні 235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 xml:space="preserve">шкідливості: радіоактивний пил, азбест, миш’як, сажа, дьоготь, берилій, хром та їх сполуки, залізна руда, нікель, дихлорметиловий ефір, мінеральні масла, диметилсульфат тощо. Попередження: флюорографія, відмова від паління. Захист дихальних шляхів від хімічних агентів.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b/>
          <w:bCs/>
          <w:sz w:val="28"/>
          <w:szCs w:val="28"/>
        </w:rPr>
        <w:t>Печінка</w:t>
      </w:r>
      <w:r w:rsidRPr="004E5991">
        <w:rPr>
          <w:rFonts w:ascii="Times New Roman" w:hAnsi="Times New Roman" w:cs="Times New Roman"/>
          <w:sz w:val="28"/>
          <w:szCs w:val="28"/>
        </w:rPr>
        <w:t xml:space="preserve">. Фактори ризику: вірусний гепатит В, С та ін., афлотоксини грибкового походження, в т.ч. при дисбактеріозі. Пестициди (ДДТ та ін.). Анаболічні стероїди. Хронічний алкоголізм.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b/>
          <w:bCs/>
          <w:sz w:val="28"/>
          <w:szCs w:val="28"/>
        </w:rPr>
        <w:lastRenderedPageBreak/>
        <w:t>Простата</w:t>
      </w:r>
      <w:r w:rsidRPr="004E5991">
        <w:rPr>
          <w:rFonts w:ascii="Times New Roman" w:hAnsi="Times New Roman" w:cs="Times New Roman"/>
          <w:sz w:val="28"/>
          <w:szCs w:val="28"/>
        </w:rPr>
        <w:t xml:space="preserve">. Фактори ризику: порушення гормонального балансу — гіперандрогенізація. Гонорея, хламідіоз, трихомоніаз, мікоплазмоз. Раннє статеве дозрівання. Раннє припинення статевого життя, перерваний статевий акт. Хронічні закрепи, алкоголізм. Надлишок жирів у раціоні.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b/>
          <w:bCs/>
          <w:sz w:val="28"/>
          <w:szCs w:val="28"/>
        </w:rPr>
        <w:t>Губи, порожнина рота, стравохід</w:t>
      </w:r>
      <w:r w:rsidRPr="004E5991">
        <w:rPr>
          <w:rFonts w:ascii="Times New Roman" w:hAnsi="Times New Roman" w:cs="Times New Roman"/>
          <w:sz w:val="28"/>
          <w:szCs w:val="28"/>
        </w:rPr>
        <w:t xml:space="preserve">. Фактори ризику — занадто гаряча їжа, паління, жування тютюну. Механічні пошкодження (рибні кістки). Копчені продукти, нітрати їжі.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b/>
          <w:bCs/>
          <w:sz w:val="28"/>
          <w:szCs w:val="28"/>
        </w:rPr>
        <w:t xml:space="preserve">Нирки і сечовий міху </w:t>
      </w:r>
      <w:r w:rsidRPr="004E5991">
        <w:rPr>
          <w:rFonts w:ascii="Times New Roman" w:hAnsi="Times New Roman" w:cs="Times New Roman"/>
          <w:sz w:val="28"/>
          <w:szCs w:val="28"/>
        </w:rPr>
        <w:t xml:space="preserve">р. Фактори ризику: паління, застій сечі.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b/>
          <w:bCs/>
          <w:sz w:val="28"/>
          <w:szCs w:val="28"/>
        </w:rPr>
        <w:t>Підшлункова залоза</w:t>
      </w:r>
      <w:r w:rsidRPr="004E5991">
        <w:rPr>
          <w:rFonts w:ascii="Times New Roman" w:hAnsi="Times New Roman" w:cs="Times New Roman"/>
          <w:sz w:val="28"/>
          <w:szCs w:val="28"/>
        </w:rPr>
        <w:t xml:space="preserve">. Фактори ризику: надлишок жирів у раціоні. </w:t>
      </w:r>
    </w:p>
    <w:p w:rsidR="008C3840" w:rsidRDefault="008C3840" w:rsidP="008C3840">
      <w:pPr>
        <w:spacing w:after="0"/>
        <w:ind w:firstLine="567"/>
        <w:contextualSpacing/>
        <w:jc w:val="both"/>
        <w:rPr>
          <w:rFonts w:ascii="Times New Roman" w:hAnsi="Times New Roman" w:cs="Times New Roman"/>
          <w:sz w:val="28"/>
          <w:szCs w:val="28"/>
          <w:lang w:val="uk-UA"/>
        </w:rPr>
      </w:pPr>
      <w:r w:rsidRPr="004E5991">
        <w:rPr>
          <w:rFonts w:ascii="Times New Roman" w:hAnsi="Times New Roman" w:cs="Times New Roman"/>
          <w:b/>
          <w:bCs/>
          <w:sz w:val="28"/>
          <w:szCs w:val="28"/>
        </w:rPr>
        <w:t>Гемобластози і лейкози</w:t>
      </w:r>
      <w:r w:rsidRPr="004E5991">
        <w:rPr>
          <w:rFonts w:ascii="Times New Roman" w:hAnsi="Times New Roman" w:cs="Times New Roman"/>
          <w:sz w:val="28"/>
          <w:szCs w:val="28"/>
        </w:rPr>
        <w:t>. Основний механізм — дисфункція імунної системи. Фактори ризику: іонізуюче випромінювання, вірусне ураження (перенесений інфекційний мононуклеоз). Продукти нафтопереробки (бензол), відходи гумової промисловості, отрутохімікати (пестициди). У дітей: вік матері старший за 40 років, перенесені при вагітності вірусні захворювання (цитомегаловірус, герпес). Пізній токсикоз (еклампсія). Рентгенівське дослідження при вагітності. Великий плід і поруш</w:t>
      </w:r>
      <w:r w:rsidR="0034034F">
        <w:rPr>
          <w:rFonts w:ascii="Times New Roman" w:hAnsi="Times New Roman" w:cs="Times New Roman"/>
          <w:sz w:val="28"/>
          <w:szCs w:val="28"/>
        </w:rPr>
        <w:t>ення фетоплацентарного бар’єру.</w:t>
      </w:r>
    </w:p>
    <w:p w:rsidR="0034034F" w:rsidRPr="0034034F" w:rsidRDefault="0034034F" w:rsidP="008C3840">
      <w:pPr>
        <w:spacing w:after="0"/>
        <w:ind w:firstLine="567"/>
        <w:contextualSpacing/>
        <w:jc w:val="both"/>
        <w:rPr>
          <w:rFonts w:ascii="Times New Roman" w:hAnsi="Times New Roman" w:cs="Times New Roman"/>
          <w:sz w:val="28"/>
          <w:szCs w:val="28"/>
          <w:lang w:val="uk-UA"/>
        </w:rPr>
      </w:pPr>
    </w:p>
    <w:p w:rsidR="008C3840" w:rsidRPr="0034034F" w:rsidRDefault="008C3840" w:rsidP="0034034F">
      <w:pPr>
        <w:pStyle w:val="a3"/>
        <w:numPr>
          <w:ilvl w:val="0"/>
          <w:numId w:val="2"/>
        </w:numPr>
        <w:spacing w:after="0"/>
        <w:jc w:val="both"/>
        <w:rPr>
          <w:rFonts w:ascii="Times New Roman" w:hAnsi="Times New Roman" w:cs="Times New Roman"/>
          <w:sz w:val="28"/>
          <w:szCs w:val="28"/>
        </w:rPr>
      </w:pPr>
      <w:r w:rsidRPr="0034034F">
        <w:rPr>
          <w:rFonts w:ascii="Times New Roman" w:hAnsi="Times New Roman" w:cs="Times New Roman"/>
          <w:b/>
          <w:bCs/>
          <w:sz w:val="28"/>
          <w:szCs w:val="28"/>
        </w:rPr>
        <w:t xml:space="preserve">Відносність </w:t>
      </w:r>
      <w:r w:rsidR="0034034F">
        <w:rPr>
          <w:rFonts w:ascii="Times New Roman" w:hAnsi="Times New Roman" w:cs="Times New Roman"/>
          <w:b/>
          <w:bCs/>
          <w:sz w:val="28"/>
          <w:szCs w:val="28"/>
        </w:rPr>
        <w:t>критеріїв здорового стилю життя</w:t>
      </w:r>
    </w:p>
    <w:p w:rsidR="0034034F" w:rsidRPr="0034034F" w:rsidRDefault="0034034F" w:rsidP="0034034F">
      <w:pPr>
        <w:pStyle w:val="a3"/>
        <w:spacing w:after="0"/>
        <w:ind w:left="927"/>
        <w:jc w:val="both"/>
        <w:rPr>
          <w:rFonts w:ascii="Times New Roman" w:hAnsi="Times New Roman" w:cs="Times New Roman"/>
          <w:sz w:val="28"/>
          <w:szCs w:val="28"/>
        </w:rPr>
      </w:pP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Вважається, що зв’язок захворюваності та смертності з чинниками ризи</w:t>
      </w:r>
      <w:r w:rsidRPr="004E5991">
        <w:rPr>
          <w:rFonts w:ascii="Times New Roman" w:hAnsi="Times New Roman" w:cs="Times New Roman"/>
          <w:sz w:val="28"/>
          <w:szCs w:val="28"/>
        </w:rPr>
        <w:softHyphen/>
        <w:t>ку носить кількісний характер без переходу в якісні зміни. Такий підхід фор</w:t>
      </w:r>
      <w:r w:rsidRPr="004E5991">
        <w:rPr>
          <w:rFonts w:ascii="Times New Roman" w:hAnsi="Times New Roman" w:cs="Times New Roman"/>
          <w:sz w:val="28"/>
          <w:szCs w:val="28"/>
        </w:rPr>
        <w:softHyphen/>
        <w:t>мує основу рекомендацій при формуванні здорового способу життя (ЗСЖ) і профілактики захворювань. Всім без виключення рекомендується відмова від алкоголю і паління, обмеження вживання кухонної солі та тваринних жи</w:t>
      </w:r>
      <w:r w:rsidRPr="004E5991">
        <w:rPr>
          <w:rFonts w:ascii="Times New Roman" w:hAnsi="Times New Roman" w:cs="Times New Roman"/>
          <w:sz w:val="28"/>
          <w:szCs w:val="28"/>
        </w:rPr>
        <w:softHyphen/>
        <w:t>рів тощо. Подібний «казармовий» підхід при формуванні ЗСЖ цілком право</w:t>
      </w:r>
      <w:r w:rsidRPr="004E5991">
        <w:rPr>
          <w:rFonts w:ascii="Times New Roman" w:hAnsi="Times New Roman" w:cs="Times New Roman"/>
          <w:sz w:val="28"/>
          <w:szCs w:val="28"/>
        </w:rPr>
        <w:softHyphen/>
        <w:t>мірний там, де переважають лінійні залежності та односпрямовані зв’язки. Проте дані численних досліджень у медицині та суміжних з нею наукових галузях свідчать про різноманіття властивостей людини і суспільства, про широке розповсюдження неоднозначних характеристик і U-подібних від</w:t>
      </w:r>
      <w:r w:rsidRPr="004E5991">
        <w:rPr>
          <w:rFonts w:ascii="Times New Roman" w:hAnsi="Times New Roman" w:cs="Times New Roman"/>
          <w:sz w:val="28"/>
          <w:szCs w:val="28"/>
        </w:rPr>
        <w:softHyphen/>
        <w:t>носин. Ці звязки відображають такі залежності, коли смертність мінімаль</w:t>
      </w:r>
      <w:r w:rsidRPr="004E5991">
        <w:rPr>
          <w:rFonts w:ascii="Times New Roman" w:hAnsi="Times New Roman" w:cs="Times New Roman"/>
          <w:sz w:val="28"/>
          <w:szCs w:val="28"/>
        </w:rPr>
        <w:softHyphen/>
        <w:t>на десь у середній частині розподілу показника. Цей рівень визначається як точка «мінімальної смертності» або «оптимальної норми». За її межами смертність збільшується як при високих, так і низьких значеннях ознаки.</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Велику зацікавленість мають результати найбільшого в історії епідеміо</w:t>
      </w:r>
      <w:r w:rsidRPr="004E5991">
        <w:rPr>
          <w:rFonts w:ascii="Times New Roman" w:hAnsi="Times New Roman" w:cs="Times New Roman"/>
          <w:sz w:val="28"/>
          <w:szCs w:val="28"/>
        </w:rPr>
        <w:softHyphen/>
        <w:t xml:space="preserve">логії проспективного спостереження 2 мільйонів норвежців, яке тривало 10 років (Waaler H., 1984 р.). Вивчався зв’язок смертності з масою тіла (маса/ріст у квадраті). Виявлено, що індекс маси тіла пов’язаний зі смертністю U- </w:t>
      </w:r>
      <w:r w:rsidR="003D2FF6">
        <w:rPr>
          <w:rFonts w:ascii="Times New Roman" w:hAnsi="Times New Roman" w:cs="Times New Roman"/>
          <w:sz w:val="28"/>
          <w:szCs w:val="28"/>
          <w:lang w:val="uk-UA"/>
        </w:rPr>
        <w:t>по</w:t>
      </w:r>
      <w:r w:rsidRPr="004E5991">
        <w:rPr>
          <w:rFonts w:ascii="Times New Roman" w:hAnsi="Times New Roman" w:cs="Times New Roman"/>
          <w:sz w:val="28"/>
          <w:szCs w:val="28"/>
        </w:rPr>
        <w:t xml:space="preserve">дібним зв’язком. Смертність була вищою у осіб як з </w:t>
      </w:r>
      <w:r w:rsidRPr="004E5991">
        <w:rPr>
          <w:rFonts w:ascii="Times New Roman" w:hAnsi="Times New Roman" w:cs="Times New Roman"/>
          <w:sz w:val="28"/>
          <w:szCs w:val="28"/>
        </w:rPr>
        <w:lastRenderedPageBreak/>
        <w:t>надмірною, так</w:t>
      </w:r>
      <w:r>
        <w:rPr>
          <w:rFonts w:ascii="Times New Roman" w:hAnsi="Times New Roman" w:cs="Times New Roman"/>
          <w:sz w:val="28"/>
          <w:szCs w:val="28"/>
          <w:lang w:val="uk-UA"/>
        </w:rPr>
        <w:t xml:space="preserve"> </w:t>
      </w:r>
      <w:r w:rsidRPr="004E5991">
        <w:rPr>
          <w:rFonts w:ascii="Times New Roman" w:hAnsi="Times New Roman" w:cs="Times New Roman"/>
          <w:sz w:val="28"/>
          <w:szCs w:val="28"/>
        </w:rPr>
        <w:t>з недо</w:t>
      </w:r>
      <w:r w:rsidRPr="004E5991">
        <w:rPr>
          <w:rFonts w:ascii="Times New Roman" w:hAnsi="Times New Roman" w:cs="Times New Roman"/>
          <w:sz w:val="28"/>
          <w:szCs w:val="28"/>
        </w:rPr>
        <w:softHyphen/>
        <w:t>статньою масою тіла. В інтервалі індексу 22-30 смертність була найменшою.</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Значення рівня холестерину плазми крові також неоднозначне і відносне. По-перше, помилковим вважається абсолютизація лінійних звязків та ігно</w:t>
      </w:r>
      <w:r w:rsidRPr="004E5991">
        <w:rPr>
          <w:rFonts w:ascii="Times New Roman" w:hAnsi="Times New Roman" w:cs="Times New Roman"/>
          <w:sz w:val="28"/>
          <w:szCs w:val="28"/>
        </w:rPr>
        <w:softHyphen/>
        <w:t xml:space="preserve">рування нижніх меж норми. Матеріали спостережень свідчать, що низький рівень холестерину так само має негативний вплив на організм, як і високий.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Необхідність виділення обох рівнів норми для холестерину підтверджу</w:t>
      </w:r>
      <w:r w:rsidRPr="004E5991">
        <w:rPr>
          <w:rFonts w:ascii="Times New Roman" w:hAnsi="Times New Roman" w:cs="Times New Roman"/>
          <w:sz w:val="28"/>
          <w:szCs w:val="28"/>
        </w:rPr>
        <w:softHyphen/>
        <w:t>ється матеріалами Каунасько-Ротердамського дослідження, при якому при 11-літньому спостереженні U-подібний зв’язок і наявність мінімальної точ</w:t>
      </w:r>
      <w:r w:rsidRPr="004E5991">
        <w:rPr>
          <w:rFonts w:ascii="Times New Roman" w:hAnsi="Times New Roman" w:cs="Times New Roman"/>
          <w:sz w:val="28"/>
          <w:szCs w:val="28"/>
        </w:rPr>
        <w:softHyphen/>
        <w:t>ки смертності не за найнижчих, а при середніх значення холестерину (Про</w:t>
      </w:r>
      <w:r w:rsidRPr="004E5991">
        <w:rPr>
          <w:rFonts w:ascii="Times New Roman" w:hAnsi="Times New Roman" w:cs="Times New Roman"/>
          <w:sz w:val="28"/>
          <w:szCs w:val="28"/>
        </w:rPr>
        <w:softHyphen/>
        <w:t>хорскас Р. П. та ін., 1987 р.). Таким чином, спроби знизити рівень холесте</w:t>
      </w:r>
      <w:r w:rsidRPr="004E5991">
        <w:rPr>
          <w:rFonts w:ascii="Times New Roman" w:hAnsi="Times New Roman" w:cs="Times New Roman"/>
          <w:sz w:val="28"/>
          <w:szCs w:val="28"/>
        </w:rPr>
        <w:softHyphen/>
        <w:t xml:space="preserve">рину при його нормальному значенні можуть давати небажані наслідки.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U-подібні зв’язки або близькі за значенням порогові ефекти виявлені для безлічі інших параметрів. Це стосується і артеріального тиску. У дослі</w:t>
      </w:r>
      <w:r w:rsidRPr="004E5991">
        <w:rPr>
          <w:rFonts w:ascii="Times New Roman" w:hAnsi="Times New Roman" w:cs="Times New Roman"/>
          <w:sz w:val="28"/>
          <w:szCs w:val="28"/>
        </w:rPr>
        <w:softHyphen/>
        <w:t>дженні 7 країн (A. Keys, 1982 р.) смертність збільшувалася тільки у верхніх 20 % розподілу. До факторів ризику відноситься як високий, так і низький рівень артеріального тиску. При останньому ризик раптової смерті збільшу</w:t>
      </w:r>
      <w:r w:rsidRPr="004E5991">
        <w:rPr>
          <w:rFonts w:ascii="Times New Roman" w:hAnsi="Times New Roman" w:cs="Times New Roman"/>
          <w:sz w:val="28"/>
          <w:szCs w:val="28"/>
        </w:rPr>
        <w:softHyphen/>
        <w:t xml:space="preserve">ється більш ніж у 3 рази.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 xml:space="preserve">Такі ж U-подібні залежності виявлені у зв’язках смертності та вживання алкоголю, частоти серцевих скорочень, тривалості нічного сну та ін. </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Виявлена універсальність U-подібних звязків призводить до необхід</w:t>
      </w:r>
      <w:r w:rsidRPr="004E5991">
        <w:rPr>
          <w:rFonts w:ascii="Times New Roman" w:hAnsi="Times New Roman" w:cs="Times New Roman"/>
          <w:sz w:val="28"/>
          <w:szCs w:val="28"/>
        </w:rPr>
        <w:softHyphen/>
        <w:t>ності нового мислення при формуванні ЗСЖ. Суть його полягає в тому, що рекомендації для ЗСЖ не можуть бути однаковими для всіх. Вони прин</w:t>
      </w:r>
      <w:r w:rsidRPr="004E5991">
        <w:rPr>
          <w:rFonts w:ascii="Times New Roman" w:hAnsi="Times New Roman" w:cs="Times New Roman"/>
          <w:sz w:val="28"/>
          <w:szCs w:val="28"/>
        </w:rPr>
        <w:softHyphen/>
        <w:t>ципово відрізняються, в залежності від того, де знаходиться популяція або індивід на U-подібній кривій — зліва чи справа від точки мінімальної смертності. При цьому конкретні значення показника на U-подібній кривій залежать від регіону проживання популяції або індивіда і відношення цих значень до конкретних захворювань.</w:t>
      </w:r>
    </w:p>
    <w:p w:rsidR="008C3840" w:rsidRPr="004E5991" w:rsidRDefault="008C3840" w:rsidP="008C3840">
      <w:pPr>
        <w:spacing w:after="0"/>
        <w:ind w:firstLine="567"/>
        <w:contextualSpacing/>
        <w:jc w:val="both"/>
        <w:rPr>
          <w:rFonts w:ascii="Times New Roman" w:hAnsi="Times New Roman" w:cs="Times New Roman"/>
          <w:sz w:val="28"/>
          <w:szCs w:val="28"/>
        </w:rPr>
      </w:pPr>
      <w:r w:rsidRPr="004E5991">
        <w:rPr>
          <w:rFonts w:ascii="Times New Roman" w:hAnsi="Times New Roman" w:cs="Times New Roman"/>
          <w:sz w:val="28"/>
          <w:szCs w:val="28"/>
        </w:rPr>
        <w:t>Наведені дані переконують у помилковості думки про допустимість безконтрольного зниження в популяції рівнів факторів ризику. Ігнорування цієї вимоги може призвести до значного зниження ефективності програм формування ЗСЖ.</w:t>
      </w:r>
    </w:p>
    <w:sectPr w:rsidR="008C3840" w:rsidRPr="004E59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5D3695"/>
    <w:multiLevelType w:val="hybridMultilevel"/>
    <w:tmpl w:val="2EE6A710"/>
    <w:lvl w:ilvl="0" w:tplc="150A65F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70A65C73"/>
    <w:multiLevelType w:val="hybridMultilevel"/>
    <w:tmpl w:val="DDA45B16"/>
    <w:lvl w:ilvl="0" w:tplc="7BD2CD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DDB"/>
    <w:rsid w:val="00006DCB"/>
    <w:rsid w:val="00026415"/>
    <w:rsid w:val="00061066"/>
    <w:rsid w:val="000657A1"/>
    <w:rsid w:val="00095522"/>
    <w:rsid w:val="000A39A7"/>
    <w:rsid w:val="000F47C2"/>
    <w:rsid w:val="00111881"/>
    <w:rsid w:val="0011428C"/>
    <w:rsid w:val="001378C9"/>
    <w:rsid w:val="00152455"/>
    <w:rsid w:val="00183E15"/>
    <w:rsid w:val="0019081F"/>
    <w:rsid w:val="00193D19"/>
    <w:rsid w:val="001A6557"/>
    <w:rsid w:val="001B7822"/>
    <w:rsid w:val="001C3EC4"/>
    <w:rsid w:val="001C58BD"/>
    <w:rsid w:val="001D4B1D"/>
    <w:rsid w:val="001F0271"/>
    <w:rsid w:val="001F694A"/>
    <w:rsid w:val="00210766"/>
    <w:rsid w:val="00216017"/>
    <w:rsid w:val="0022367E"/>
    <w:rsid w:val="002318CD"/>
    <w:rsid w:val="00247245"/>
    <w:rsid w:val="002633AE"/>
    <w:rsid w:val="0027677F"/>
    <w:rsid w:val="00292DEE"/>
    <w:rsid w:val="00293A9B"/>
    <w:rsid w:val="002C346B"/>
    <w:rsid w:val="002C4E95"/>
    <w:rsid w:val="00335923"/>
    <w:rsid w:val="0034034F"/>
    <w:rsid w:val="00350A7F"/>
    <w:rsid w:val="00363026"/>
    <w:rsid w:val="003979D9"/>
    <w:rsid w:val="003B2613"/>
    <w:rsid w:val="003B758D"/>
    <w:rsid w:val="003D2FF6"/>
    <w:rsid w:val="003F6A15"/>
    <w:rsid w:val="00415A48"/>
    <w:rsid w:val="004412B2"/>
    <w:rsid w:val="00442201"/>
    <w:rsid w:val="004503BB"/>
    <w:rsid w:val="00464992"/>
    <w:rsid w:val="00483FA3"/>
    <w:rsid w:val="004D5E2B"/>
    <w:rsid w:val="004E23EE"/>
    <w:rsid w:val="0053702C"/>
    <w:rsid w:val="00552BB4"/>
    <w:rsid w:val="00556B68"/>
    <w:rsid w:val="005575B9"/>
    <w:rsid w:val="0059246B"/>
    <w:rsid w:val="005F0EDC"/>
    <w:rsid w:val="005F32F1"/>
    <w:rsid w:val="005F7536"/>
    <w:rsid w:val="00602915"/>
    <w:rsid w:val="00606F53"/>
    <w:rsid w:val="006337A1"/>
    <w:rsid w:val="006347D0"/>
    <w:rsid w:val="00670D7E"/>
    <w:rsid w:val="0067606E"/>
    <w:rsid w:val="00691708"/>
    <w:rsid w:val="006A079E"/>
    <w:rsid w:val="006A09D6"/>
    <w:rsid w:val="006A68C8"/>
    <w:rsid w:val="006B49C2"/>
    <w:rsid w:val="006C7FA0"/>
    <w:rsid w:val="006D21E0"/>
    <w:rsid w:val="006F2BC1"/>
    <w:rsid w:val="006F2E1B"/>
    <w:rsid w:val="00711335"/>
    <w:rsid w:val="00716A39"/>
    <w:rsid w:val="00761E85"/>
    <w:rsid w:val="00765AC6"/>
    <w:rsid w:val="00791942"/>
    <w:rsid w:val="007A135A"/>
    <w:rsid w:val="007A4B7F"/>
    <w:rsid w:val="007B46C4"/>
    <w:rsid w:val="007E4178"/>
    <w:rsid w:val="007E5FB6"/>
    <w:rsid w:val="0083224B"/>
    <w:rsid w:val="00857926"/>
    <w:rsid w:val="00890EC5"/>
    <w:rsid w:val="00891DAA"/>
    <w:rsid w:val="008B0821"/>
    <w:rsid w:val="008C3840"/>
    <w:rsid w:val="008E63BA"/>
    <w:rsid w:val="00900BAE"/>
    <w:rsid w:val="00934E3E"/>
    <w:rsid w:val="009407FC"/>
    <w:rsid w:val="0094201A"/>
    <w:rsid w:val="00962FE3"/>
    <w:rsid w:val="00977564"/>
    <w:rsid w:val="0098228E"/>
    <w:rsid w:val="0098264D"/>
    <w:rsid w:val="009D20E6"/>
    <w:rsid w:val="009F67CB"/>
    <w:rsid w:val="00A01723"/>
    <w:rsid w:val="00A0257E"/>
    <w:rsid w:val="00A05E8A"/>
    <w:rsid w:val="00A90298"/>
    <w:rsid w:val="00A942DC"/>
    <w:rsid w:val="00AD772D"/>
    <w:rsid w:val="00AE2DDB"/>
    <w:rsid w:val="00AF48B3"/>
    <w:rsid w:val="00B0434F"/>
    <w:rsid w:val="00B11342"/>
    <w:rsid w:val="00B22915"/>
    <w:rsid w:val="00B44CC5"/>
    <w:rsid w:val="00B51B70"/>
    <w:rsid w:val="00B535C6"/>
    <w:rsid w:val="00B6261C"/>
    <w:rsid w:val="00B91ABE"/>
    <w:rsid w:val="00BB0C97"/>
    <w:rsid w:val="00BB3119"/>
    <w:rsid w:val="00BC27D3"/>
    <w:rsid w:val="00BC281D"/>
    <w:rsid w:val="00BC5984"/>
    <w:rsid w:val="00BD72C5"/>
    <w:rsid w:val="00C21D7E"/>
    <w:rsid w:val="00C33026"/>
    <w:rsid w:val="00C44DAB"/>
    <w:rsid w:val="00C465BD"/>
    <w:rsid w:val="00C663C6"/>
    <w:rsid w:val="00C717E1"/>
    <w:rsid w:val="00C73C11"/>
    <w:rsid w:val="00C757F3"/>
    <w:rsid w:val="00CB1D02"/>
    <w:rsid w:val="00CD25D6"/>
    <w:rsid w:val="00CF347E"/>
    <w:rsid w:val="00D24924"/>
    <w:rsid w:val="00D31363"/>
    <w:rsid w:val="00D4693A"/>
    <w:rsid w:val="00DA2C63"/>
    <w:rsid w:val="00DC5C26"/>
    <w:rsid w:val="00DD7347"/>
    <w:rsid w:val="00E36ABE"/>
    <w:rsid w:val="00E41856"/>
    <w:rsid w:val="00E61FAE"/>
    <w:rsid w:val="00E8141D"/>
    <w:rsid w:val="00E93F74"/>
    <w:rsid w:val="00EA5105"/>
    <w:rsid w:val="00EE7549"/>
    <w:rsid w:val="00EF0D12"/>
    <w:rsid w:val="00F1356E"/>
    <w:rsid w:val="00F91C8C"/>
    <w:rsid w:val="00FB6703"/>
    <w:rsid w:val="00FC1C8E"/>
    <w:rsid w:val="00FC53E8"/>
    <w:rsid w:val="00FD10F2"/>
    <w:rsid w:val="00FE2246"/>
    <w:rsid w:val="00FE39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8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03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384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91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11</Pages>
  <Words>3806</Words>
  <Characters>21700</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Tatyana</dc:creator>
  <cp:keywords/>
  <dc:description/>
  <cp:lastModifiedBy>Tatyana</cp:lastModifiedBy>
  <cp:revision>4</cp:revision>
  <dcterms:created xsi:type="dcterms:W3CDTF">2020-03-20T08:47:00Z</dcterms:created>
  <dcterms:modified xsi:type="dcterms:W3CDTF">2020-03-20T11:47:00Z</dcterms:modified>
</cp:coreProperties>
</file>